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800E88" w14:textId="29937EC2" w:rsidR="00B4397E" w:rsidRPr="003A37FF" w:rsidRDefault="00907B7C" w:rsidP="00B4397E">
      <w:pPr>
        <w:jc w:val="center"/>
      </w:pPr>
      <w:r>
        <w:t xml:space="preserve">Forthcoming in </w:t>
      </w:r>
      <w:bookmarkStart w:id="0" w:name="_GoBack"/>
      <w:r w:rsidRPr="00907B7C">
        <w:rPr>
          <w:i/>
        </w:rPr>
        <w:t>Perspectives on Politics</w:t>
      </w:r>
      <w:bookmarkEnd w:id="0"/>
    </w:p>
    <w:p w14:paraId="5F55C008" w14:textId="77777777" w:rsidR="00F23E75" w:rsidRPr="003A37FF" w:rsidRDefault="00F23E75" w:rsidP="00B4397E">
      <w:pPr>
        <w:spacing w:line="480" w:lineRule="auto"/>
        <w:ind w:firstLine="720"/>
        <w:jc w:val="center"/>
        <w:rPr>
          <w:b/>
          <w:sz w:val="28"/>
          <w:szCs w:val="28"/>
        </w:rPr>
      </w:pPr>
    </w:p>
    <w:p w14:paraId="732FF2BB" w14:textId="77777777" w:rsidR="00F23E75" w:rsidRPr="003A37FF" w:rsidRDefault="00F23E75" w:rsidP="00B4397E">
      <w:pPr>
        <w:spacing w:line="480" w:lineRule="auto"/>
        <w:ind w:firstLine="720"/>
        <w:jc w:val="center"/>
        <w:rPr>
          <w:b/>
          <w:sz w:val="28"/>
          <w:szCs w:val="28"/>
        </w:rPr>
      </w:pPr>
    </w:p>
    <w:p w14:paraId="71D16F4C" w14:textId="52551C86" w:rsidR="00B4397E" w:rsidRPr="003A37FF" w:rsidRDefault="00B4397E" w:rsidP="00B4397E">
      <w:pPr>
        <w:spacing w:line="480" w:lineRule="auto"/>
        <w:ind w:firstLine="720"/>
        <w:jc w:val="center"/>
        <w:rPr>
          <w:b/>
          <w:sz w:val="28"/>
          <w:szCs w:val="28"/>
        </w:rPr>
      </w:pPr>
      <w:r w:rsidRPr="003A37FF">
        <w:rPr>
          <w:b/>
          <w:sz w:val="28"/>
          <w:szCs w:val="28"/>
        </w:rPr>
        <w:t>The Fin</w:t>
      </w:r>
      <w:r w:rsidR="00FD7AD4" w:rsidRPr="003A37FF">
        <w:rPr>
          <w:b/>
          <w:sz w:val="28"/>
          <w:szCs w:val="28"/>
        </w:rPr>
        <w:t>an</w:t>
      </w:r>
      <w:r w:rsidRPr="003A37FF">
        <w:rPr>
          <w:b/>
          <w:sz w:val="28"/>
          <w:szCs w:val="28"/>
        </w:rPr>
        <w:t>cialization of International Law</w:t>
      </w:r>
    </w:p>
    <w:p w14:paraId="1329E300" w14:textId="77777777" w:rsidR="00907B7C" w:rsidRPr="00A13745" w:rsidRDefault="00907B7C" w:rsidP="00907B7C">
      <w:pPr>
        <w:ind w:firstLine="720"/>
        <w:jc w:val="center"/>
      </w:pPr>
      <w:r w:rsidRPr="00A13745">
        <w:t>Nikhil Kalyanpur</w:t>
      </w:r>
    </w:p>
    <w:p w14:paraId="48F63830" w14:textId="77777777" w:rsidR="00907B7C" w:rsidRPr="00A13745" w:rsidRDefault="00907B7C" w:rsidP="00907B7C">
      <w:pPr>
        <w:ind w:firstLine="720"/>
        <w:jc w:val="center"/>
      </w:pPr>
      <w:r w:rsidRPr="00A13745">
        <w:t>Postdoctoral Fellow</w:t>
      </w:r>
    </w:p>
    <w:p w14:paraId="28D66454" w14:textId="77777777" w:rsidR="00907B7C" w:rsidRPr="00A13745" w:rsidRDefault="00907B7C" w:rsidP="00907B7C">
      <w:pPr>
        <w:ind w:firstLine="720"/>
        <w:jc w:val="center"/>
      </w:pPr>
      <w:r w:rsidRPr="00A13745">
        <w:t>Princeton University</w:t>
      </w:r>
    </w:p>
    <w:p w14:paraId="43D3AAA8" w14:textId="77777777" w:rsidR="00907B7C" w:rsidRPr="00A13745" w:rsidRDefault="00907B7C" w:rsidP="00907B7C">
      <w:pPr>
        <w:ind w:firstLine="720"/>
        <w:jc w:val="center"/>
      </w:pPr>
      <w:r w:rsidRPr="00A13745">
        <w:t>nik.kalyanpur@gmail.com</w:t>
      </w:r>
    </w:p>
    <w:p w14:paraId="2A46B517" w14:textId="77777777" w:rsidR="00907B7C" w:rsidRPr="00A13745" w:rsidRDefault="00907B7C" w:rsidP="00907B7C">
      <w:pPr>
        <w:ind w:firstLine="720"/>
        <w:jc w:val="center"/>
      </w:pPr>
    </w:p>
    <w:p w14:paraId="759E06D3" w14:textId="77777777" w:rsidR="00907B7C" w:rsidRPr="00A13745" w:rsidRDefault="00907B7C" w:rsidP="00907B7C">
      <w:pPr>
        <w:ind w:firstLine="720"/>
        <w:jc w:val="center"/>
      </w:pPr>
      <w:r w:rsidRPr="00A13745">
        <w:t>Abraham L. Newman</w:t>
      </w:r>
    </w:p>
    <w:p w14:paraId="4A78B3D4" w14:textId="77777777" w:rsidR="00907B7C" w:rsidRPr="00A13745" w:rsidRDefault="00907B7C" w:rsidP="00907B7C">
      <w:pPr>
        <w:ind w:firstLine="720"/>
        <w:jc w:val="center"/>
      </w:pPr>
      <w:r w:rsidRPr="00A13745">
        <w:t>Professor</w:t>
      </w:r>
    </w:p>
    <w:p w14:paraId="1397AA81" w14:textId="77777777" w:rsidR="00907B7C" w:rsidRPr="00A13745" w:rsidRDefault="00907B7C" w:rsidP="00907B7C">
      <w:pPr>
        <w:ind w:firstLine="720"/>
        <w:jc w:val="center"/>
      </w:pPr>
      <w:r w:rsidRPr="00A13745">
        <w:t>Georgetown University</w:t>
      </w:r>
    </w:p>
    <w:p w14:paraId="3C74CC36" w14:textId="77777777" w:rsidR="00907B7C" w:rsidRPr="00A13745" w:rsidRDefault="00907B7C" w:rsidP="00907B7C">
      <w:pPr>
        <w:ind w:firstLine="720"/>
        <w:jc w:val="center"/>
      </w:pPr>
      <w:r w:rsidRPr="00A13745">
        <w:t>aln24@georgetown.edu</w:t>
      </w:r>
    </w:p>
    <w:p w14:paraId="57CE27DE" w14:textId="77777777" w:rsidR="00B4397E" w:rsidRPr="003A37FF" w:rsidRDefault="00B4397E" w:rsidP="00EC4F8C">
      <w:pPr>
        <w:spacing w:line="480" w:lineRule="auto"/>
        <w:ind w:firstLine="720"/>
      </w:pPr>
    </w:p>
    <w:p w14:paraId="60CC486E" w14:textId="6393AD38" w:rsidR="00811D2D" w:rsidRPr="003A37FF" w:rsidRDefault="00B4397E" w:rsidP="00811D2D">
      <w:r w:rsidRPr="003A37FF">
        <w:rPr>
          <w:u w:val="single"/>
        </w:rPr>
        <w:t>Abstract:</w:t>
      </w:r>
      <w:r w:rsidRPr="003A37FF">
        <w:t xml:space="preserve"> </w:t>
      </w:r>
      <w:r w:rsidR="00B05DF0">
        <w:t>T</w:t>
      </w:r>
      <w:r w:rsidR="00150E68" w:rsidRPr="003A37FF">
        <w:t>his</w:t>
      </w:r>
      <w:r w:rsidR="00B05DF0">
        <w:t xml:space="preserve"> article investigates </w:t>
      </w:r>
      <w:r w:rsidR="00150E68" w:rsidRPr="003A37FF">
        <w:t xml:space="preserve">how the international investment regime turned into an investment vehicle. Through the process called </w:t>
      </w:r>
      <w:r w:rsidR="00FB0A44" w:rsidRPr="003A37FF">
        <w:t>third-party</w:t>
      </w:r>
      <w:r w:rsidR="00150E68" w:rsidRPr="003A37FF">
        <w:t xml:space="preserve"> funding, financiers back international legal claims by firms against countries and in turn seek </w:t>
      </w:r>
      <w:r w:rsidR="00A00892" w:rsidRPr="003A37FF">
        <w:t>a</w:t>
      </w:r>
      <w:r w:rsidR="00150E68" w:rsidRPr="003A37FF">
        <w:t xml:space="preserve"> share </w:t>
      </w:r>
      <w:r w:rsidR="00A00892" w:rsidRPr="003A37FF">
        <w:t>of</w:t>
      </w:r>
      <w:r w:rsidR="00150E68" w:rsidRPr="003A37FF">
        <w:t xml:space="preserve"> </w:t>
      </w:r>
      <w:r w:rsidR="00DD7A5E" w:rsidRPr="003A37FF">
        <w:t>any</w:t>
      </w:r>
      <w:r w:rsidR="00150E68" w:rsidRPr="003A37FF">
        <w:t xml:space="preserve"> potential </w:t>
      </w:r>
      <w:r w:rsidR="00DD7A5E" w:rsidRPr="003A37FF">
        <w:t>award</w:t>
      </w:r>
      <w:r w:rsidR="00150E68" w:rsidRPr="003A37FF">
        <w:t>. More generally, the paper add</w:t>
      </w:r>
      <w:r w:rsidR="00DD7A5E" w:rsidRPr="003A37FF">
        <w:t>s</w:t>
      </w:r>
      <w:r w:rsidR="00150E68" w:rsidRPr="003A37FF">
        <w:t xml:space="preserve"> to debates on how international regimes evolve and at times generate unanticipated consequences. </w:t>
      </w:r>
      <w:r w:rsidR="00094024" w:rsidRPr="003A37FF">
        <w:t>B</w:t>
      </w:r>
      <w:r w:rsidR="007E701D" w:rsidRPr="003A37FF">
        <w:t>uilding</w:t>
      </w:r>
      <w:r w:rsidR="00094024" w:rsidRPr="003A37FF">
        <w:t xml:space="preserve"> off work </w:t>
      </w:r>
      <w:r w:rsidR="00B07E2F" w:rsidRPr="003A37FF">
        <w:t xml:space="preserve">on the sociology of </w:t>
      </w:r>
      <w:r w:rsidR="00150E68" w:rsidRPr="003A37FF">
        <w:t>fields</w:t>
      </w:r>
      <w:r w:rsidR="00094024" w:rsidRPr="003A37FF">
        <w:t xml:space="preserve">, we argue that institutional change can occur when individuals </w:t>
      </w:r>
      <w:r w:rsidR="00B05DF0">
        <w:t xml:space="preserve">from different </w:t>
      </w:r>
      <w:r w:rsidR="00150E68" w:rsidRPr="003A37FF">
        <w:t>fields</w:t>
      </w:r>
      <w:r w:rsidR="00094024" w:rsidRPr="003A37FF">
        <w:t xml:space="preserve"> interact.</w:t>
      </w:r>
      <w:r w:rsidR="004C5939" w:rsidRPr="003A37FF">
        <w:t xml:space="preserve"> Each </w:t>
      </w:r>
      <w:r w:rsidR="00150E68" w:rsidRPr="003A37FF">
        <w:t>field</w:t>
      </w:r>
      <w:r w:rsidR="004C5939" w:rsidRPr="003A37FF">
        <w:t xml:space="preserve"> has its own </w:t>
      </w:r>
      <w:r w:rsidR="00150E68" w:rsidRPr="003A37FF">
        <w:t>local</w:t>
      </w:r>
      <w:r w:rsidR="004C5939" w:rsidRPr="003A37FF">
        <w:t xml:space="preserve"> practices</w:t>
      </w:r>
      <w:r w:rsidR="00150E68" w:rsidRPr="003A37FF">
        <w:t xml:space="preserve"> and beliefs about how governance institutions like international regimes function</w:t>
      </w:r>
      <w:r w:rsidR="00094024" w:rsidRPr="003A37FF">
        <w:t xml:space="preserve">. When professionals from one </w:t>
      </w:r>
      <w:r w:rsidR="00150E68" w:rsidRPr="003A37FF">
        <w:t>field</w:t>
      </w:r>
      <w:r w:rsidR="00094024" w:rsidRPr="003A37FF">
        <w:t xml:space="preserve"> analyze problems in another, they use the tools from their</w:t>
      </w:r>
      <w:r w:rsidR="007E701D" w:rsidRPr="003A37FF">
        <w:t xml:space="preserve"> native</w:t>
      </w:r>
      <w:r w:rsidR="00094024" w:rsidRPr="003A37FF">
        <w:t xml:space="preserve"> </w:t>
      </w:r>
      <w:r w:rsidR="00150E68" w:rsidRPr="003A37FF">
        <w:t>field</w:t>
      </w:r>
      <w:r w:rsidR="004C5939" w:rsidRPr="003A37FF">
        <w:t>.</w:t>
      </w:r>
      <w:r w:rsidR="00094024" w:rsidRPr="003A37FF">
        <w:t xml:space="preserve"> If potential solutions provide </w:t>
      </w:r>
      <w:r w:rsidR="005E6A3B" w:rsidRPr="003A37FF">
        <w:t>material</w:t>
      </w:r>
      <w:r w:rsidR="00DD7A5E" w:rsidRPr="003A37FF">
        <w:t xml:space="preserve"> and status</w:t>
      </w:r>
      <w:r w:rsidR="005E6A3B" w:rsidRPr="003A37FF">
        <w:t xml:space="preserve"> benefits</w:t>
      </w:r>
      <w:r w:rsidR="00094024" w:rsidRPr="003A37FF">
        <w:t xml:space="preserve"> for the dominant actors in the targeted regime, cross-</w:t>
      </w:r>
      <w:r w:rsidR="00150E68" w:rsidRPr="003A37FF">
        <w:t>field</w:t>
      </w:r>
      <w:r w:rsidR="00094024" w:rsidRPr="003A37FF">
        <w:t xml:space="preserve"> coalitions can form and change the targeted regime’s p</w:t>
      </w:r>
      <w:r w:rsidR="007E701D" w:rsidRPr="003A37FF">
        <w:t>ractice</w:t>
      </w:r>
      <w:r w:rsidR="00094024" w:rsidRPr="003A37FF">
        <w:t xml:space="preserve">. </w:t>
      </w:r>
      <w:r w:rsidR="001A16E1" w:rsidRPr="003A37FF">
        <w:t>As hedge funds</w:t>
      </w:r>
      <w:r w:rsidR="00094024" w:rsidRPr="003A37FF">
        <w:t xml:space="preserve"> in the finance </w:t>
      </w:r>
      <w:r w:rsidR="00DD7A5E" w:rsidRPr="003A37FF">
        <w:t>field</w:t>
      </w:r>
      <w:r w:rsidR="001A16E1" w:rsidRPr="003A37FF">
        <w:t xml:space="preserve"> and lawyers</w:t>
      </w:r>
      <w:r w:rsidR="00512D41" w:rsidRPr="003A37FF">
        <w:t xml:space="preserve"> </w:t>
      </w:r>
      <w:r w:rsidR="00094024" w:rsidRPr="003A37FF">
        <w:t>in the in</w:t>
      </w:r>
      <w:r w:rsidR="00DD7A5E" w:rsidRPr="003A37FF">
        <w:t>ternational law field</w:t>
      </w:r>
      <w:r w:rsidR="00094024" w:rsidRPr="003A37FF">
        <w:t xml:space="preserve"> </w:t>
      </w:r>
      <w:r w:rsidR="001A16E1" w:rsidRPr="003A37FF">
        <w:t xml:space="preserve">sought </w:t>
      </w:r>
      <w:r w:rsidR="00DD7A5E" w:rsidRPr="003A37FF">
        <w:t xml:space="preserve">to reinvent themselves </w:t>
      </w:r>
      <w:r w:rsidR="001A16E1" w:rsidRPr="003A37FF">
        <w:t xml:space="preserve">after the 2008 </w:t>
      </w:r>
      <w:r w:rsidR="007E701D" w:rsidRPr="003A37FF">
        <w:t xml:space="preserve">financial </w:t>
      </w:r>
      <w:r w:rsidR="001A16E1" w:rsidRPr="003A37FF">
        <w:t xml:space="preserve">crisis, they teamed up to make Investor State Dispute Settlement a speculator’s game. </w:t>
      </w:r>
      <w:r w:rsidR="00DD7A5E" w:rsidRPr="003A37FF">
        <w:t>Theoretically, the paper embeds theories of regime change within larger social relations, highlighting the importance of informal interactions among regime operators for the use and function of governance institutions.</w:t>
      </w:r>
      <w:r w:rsidR="00B05DF0">
        <w:t xml:space="preserve"> I</w:t>
      </w:r>
      <w:r w:rsidR="00DD7A5E" w:rsidRPr="003A37FF">
        <w:t>t underscores the role of field interdependence as actors engage in contestation across social</w:t>
      </w:r>
      <w:r w:rsidR="00A00892" w:rsidRPr="003A37FF">
        <w:t xml:space="preserve"> and political</w:t>
      </w:r>
      <w:r w:rsidR="00DD7A5E" w:rsidRPr="003A37FF">
        <w:t xml:space="preserve"> domains. Empirically, it demonstrates the way in which financialization has had far reaching consequences </w:t>
      </w:r>
      <w:r w:rsidR="00791A92" w:rsidRPr="003A37FF">
        <w:t xml:space="preserve">that extend </w:t>
      </w:r>
      <w:r w:rsidR="00DD7A5E" w:rsidRPr="003A37FF">
        <w:t xml:space="preserve">well beyond </w:t>
      </w:r>
      <w:r w:rsidR="00791A92" w:rsidRPr="003A37FF">
        <w:t xml:space="preserve">traditional </w:t>
      </w:r>
      <w:r w:rsidR="00DD7A5E" w:rsidRPr="003A37FF">
        <w:t xml:space="preserve">economic sectors, </w:t>
      </w:r>
      <w:r w:rsidR="00791A92" w:rsidRPr="003A37FF">
        <w:t>reconfiguring the practice of international law.</w:t>
      </w:r>
    </w:p>
    <w:p w14:paraId="0FC5748B" w14:textId="51A2D281" w:rsidR="00B4397E" w:rsidRPr="003A37FF" w:rsidRDefault="00B4397E" w:rsidP="00EC4F8C">
      <w:pPr>
        <w:spacing w:line="480" w:lineRule="auto"/>
        <w:ind w:firstLine="720"/>
      </w:pPr>
    </w:p>
    <w:p w14:paraId="7DFFF0F2" w14:textId="77777777" w:rsidR="00F23E75" w:rsidRPr="003A37FF" w:rsidRDefault="00F23E75" w:rsidP="00EC4F8C">
      <w:pPr>
        <w:spacing w:line="480" w:lineRule="auto"/>
        <w:ind w:firstLine="720"/>
      </w:pPr>
    </w:p>
    <w:p w14:paraId="02C58ABE" w14:textId="01C5F379" w:rsidR="00B4397E" w:rsidRPr="003A37FF" w:rsidRDefault="00F23E75" w:rsidP="00902965">
      <w:r w:rsidRPr="003A37FF">
        <w:t>Keywords:</w:t>
      </w:r>
      <w:r w:rsidR="00F42A87" w:rsidRPr="003A37FF">
        <w:t xml:space="preserve"> Field theory</w:t>
      </w:r>
      <w:r w:rsidRPr="003A37FF">
        <w:t>; financialization; professions; international law; international investment</w:t>
      </w:r>
      <w:r w:rsidR="009166CF" w:rsidRPr="003A37FF">
        <w:t>; foreign direct investment</w:t>
      </w:r>
      <w:r w:rsidR="00284214" w:rsidRPr="003A37FF">
        <w:t>; regime change</w:t>
      </w:r>
      <w:r w:rsidR="00B4397E" w:rsidRPr="003A37FF">
        <w:br w:type="page"/>
      </w:r>
    </w:p>
    <w:p w14:paraId="7A9D9F08" w14:textId="3EF239BD" w:rsidR="00347975" w:rsidRPr="003A37FF" w:rsidRDefault="001B2E01" w:rsidP="00E025C1">
      <w:pPr>
        <w:spacing w:line="480" w:lineRule="auto"/>
        <w:ind w:firstLine="720"/>
      </w:pPr>
      <w:r w:rsidRPr="003A37FF">
        <w:lastRenderedPageBreak/>
        <w:t>On July 29</w:t>
      </w:r>
      <w:r w:rsidRPr="003A37FF">
        <w:rPr>
          <w:vertAlign w:val="superscript"/>
        </w:rPr>
        <w:t>th</w:t>
      </w:r>
      <w:r w:rsidR="00740134" w:rsidRPr="003A37FF">
        <w:t>, 2019</w:t>
      </w:r>
      <w:r w:rsidRPr="003A37FF">
        <w:t>, the 3</w:t>
      </w:r>
      <w:r w:rsidRPr="003A37FF">
        <w:rPr>
          <w:vertAlign w:val="superscript"/>
        </w:rPr>
        <w:t>rd</w:t>
      </w:r>
      <w:r w:rsidRPr="003A37FF">
        <w:t xml:space="preserve"> US Circuit Court of Appeals in Philadelphia struck a</w:t>
      </w:r>
      <w:r w:rsidR="009B294A" w:rsidRPr="003A37FF">
        <w:t>nother</w:t>
      </w:r>
      <w:r w:rsidRPr="003A37FF">
        <w:t xml:space="preserve"> blow to </w:t>
      </w:r>
      <w:r w:rsidR="00E127FB" w:rsidRPr="003A37FF">
        <w:t>the</w:t>
      </w:r>
      <w:r w:rsidRPr="003A37FF">
        <w:t xml:space="preserve"> frayed Venezuelan-American relationship.</w:t>
      </w:r>
      <w:r w:rsidR="00050BB1" w:rsidRPr="003A37FF">
        <w:t xml:space="preserve"> E</w:t>
      </w:r>
      <w:r w:rsidR="006701D7" w:rsidRPr="003A37FF">
        <w:t>nforc</w:t>
      </w:r>
      <w:r w:rsidR="00050BB1" w:rsidRPr="003A37FF">
        <w:t>ing</w:t>
      </w:r>
      <w:r w:rsidR="006701D7" w:rsidRPr="003A37FF">
        <w:t xml:space="preserve"> a</w:t>
      </w:r>
      <w:r w:rsidR="00862A1F" w:rsidRPr="003A37FF">
        <w:t xml:space="preserve"> $1.2 billion</w:t>
      </w:r>
      <w:r w:rsidR="006701D7" w:rsidRPr="003A37FF">
        <w:t xml:space="preserve"> international arbitration </w:t>
      </w:r>
      <w:r w:rsidR="00050BB1" w:rsidRPr="003A37FF">
        <w:t>award, the court ruled that</w:t>
      </w:r>
      <w:r w:rsidR="009B294A" w:rsidRPr="003A37FF">
        <w:t xml:space="preserve"> </w:t>
      </w:r>
      <w:r w:rsidR="006701D7" w:rsidRPr="003A37FF">
        <w:t xml:space="preserve">the </w:t>
      </w:r>
      <w:r w:rsidR="009B294A" w:rsidRPr="003A37FF">
        <w:t xml:space="preserve">Canadian company Crystallex </w:t>
      </w:r>
      <w:r w:rsidR="00050BB1" w:rsidRPr="003A37FF">
        <w:t>could</w:t>
      </w:r>
      <w:r w:rsidR="009B294A" w:rsidRPr="003A37FF">
        <w:t xml:space="preserve"> seize</w:t>
      </w:r>
      <w:r w:rsidR="006701D7" w:rsidRPr="003A37FF">
        <w:t xml:space="preserve"> </w:t>
      </w:r>
      <w:r w:rsidR="009B294A" w:rsidRPr="003A37FF">
        <w:t xml:space="preserve">the assets of Citgo Petroleum Corporation, </w:t>
      </w:r>
      <w:r w:rsidR="00050BB1" w:rsidRPr="003A37FF">
        <w:t xml:space="preserve">the </w:t>
      </w:r>
      <w:r w:rsidR="00862A1F" w:rsidRPr="003A37FF">
        <w:t xml:space="preserve">de facto </w:t>
      </w:r>
      <w:r w:rsidR="00050BB1" w:rsidRPr="003A37FF">
        <w:t>US subsidiary of the Venezuelan state-owned oil company</w:t>
      </w:r>
      <w:r w:rsidR="00862A1F" w:rsidRPr="003A37FF">
        <w:t xml:space="preserve"> PDVSA</w:t>
      </w:r>
      <w:r w:rsidR="00D4242E" w:rsidRPr="003A37FF">
        <w:t xml:space="preserve"> </w:t>
      </w:r>
      <w:r w:rsidR="00D4242E" w:rsidRPr="003A37FF">
        <w:fldChar w:fldCharType="begin"/>
      </w:r>
      <w:r w:rsidR="00EE4102" w:rsidRPr="003A37FF">
        <w:instrText xml:space="preserve"> ADDIN ZOTERO_ITEM CSL_CITATION {"citationID":"a1gl8c86jdk","properties":{"formattedCitation":"(Cleary Gottlieb 2019)","plainCitation":"(Cleary Gottlieb 2019)","noteIndex":0},"citationItems":[{"id":5803,"uris":["http://zotero.org/users/local/oXQBh7r1/items/B9P3GN5V"],"uri":["http://zotero.org/users/local/oXQBh7r1/items/B9P3GN5V"],"itemData":{"id":5803,"type":"article","title":"Implications of U.S. Court of Appeals Decision Affirming that Petróleos de Venezuela, S.A. Is the Alter Ego of the Republic of Venezuela","URL":"https://www.clearygottlieb.com/-/media/files/alert-memos-2019/2019_09_09-implications-of-pdvsa-alter-ego-decision-for-other-sovereigns-pdf.pdf","author":[{"family":"Cleary Gottlieb","given":""}],"issued":{"date-parts":[["2019",9,9]]}}}],"schema":"https://github.com/citation-style-language/schema/raw/master/csl-citation.json"} </w:instrText>
      </w:r>
      <w:r w:rsidR="00D4242E" w:rsidRPr="003A37FF">
        <w:fldChar w:fldCharType="separate"/>
      </w:r>
      <w:r w:rsidR="00EE4102" w:rsidRPr="003A37FF">
        <w:t>(Cleary Gottlieb 2019)</w:t>
      </w:r>
      <w:r w:rsidR="00D4242E" w:rsidRPr="003A37FF">
        <w:fldChar w:fldCharType="end"/>
      </w:r>
      <w:r w:rsidR="009B294A" w:rsidRPr="003A37FF">
        <w:t xml:space="preserve">. </w:t>
      </w:r>
      <w:r w:rsidR="00E127FB" w:rsidRPr="003A37FF">
        <w:t>T</w:t>
      </w:r>
      <w:r w:rsidR="00347975" w:rsidRPr="003A37FF">
        <w:t>he biggest winner of the day</w:t>
      </w:r>
      <w:r w:rsidR="006701D7" w:rsidRPr="003A37FF">
        <w:t>, however,</w:t>
      </w:r>
      <w:r w:rsidR="00347975" w:rsidRPr="003A37FF">
        <w:t xml:space="preserve"> was</w:t>
      </w:r>
      <w:r w:rsidR="006701D7" w:rsidRPr="003A37FF">
        <w:t xml:space="preserve"> not the Canadian company but the</w:t>
      </w:r>
      <w:r w:rsidR="00347975" w:rsidRPr="003A37FF">
        <w:t xml:space="preserve"> New York</w:t>
      </w:r>
      <w:r w:rsidR="006701D7" w:rsidRPr="003A37FF">
        <w:t>-</w:t>
      </w:r>
      <w:r w:rsidR="00347975" w:rsidRPr="003A37FF">
        <w:t xml:space="preserve">based hedge fund Tenor Capital Management. Tenor </w:t>
      </w:r>
      <w:r w:rsidR="006701D7" w:rsidRPr="003A37FF">
        <w:t xml:space="preserve">had </w:t>
      </w:r>
      <w:r w:rsidR="00347975" w:rsidRPr="003A37FF">
        <w:t xml:space="preserve">invested $76 million in </w:t>
      </w:r>
      <w:r w:rsidR="006701D7" w:rsidRPr="003A37FF">
        <w:t>the suit</w:t>
      </w:r>
      <w:r w:rsidR="006701D7" w:rsidRPr="003A37FF" w:rsidDel="006701D7">
        <w:t xml:space="preserve"> </w:t>
      </w:r>
      <w:r w:rsidR="00347975" w:rsidRPr="003A37FF">
        <w:t>with the goal of bringing and winning a massive claim against Venezu</w:t>
      </w:r>
      <w:r w:rsidR="003D59D8" w:rsidRPr="003A37FF">
        <w:t>ela</w:t>
      </w:r>
      <w:r w:rsidR="00D4242E" w:rsidRPr="003A37FF">
        <w:t xml:space="preserve"> </w:t>
      </w:r>
      <w:r w:rsidR="00D4242E" w:rsidRPr="003A37FF">
        <w:fldChar w:fldCharType="begin"/>
      </w:r>
      <w:r w:rsidR="00EE4102" w:rsidRPr="003A37FF">
        <w:instrText xml:space="preserve"> ADDIN ZOTERO_ITEM CSL_CITATION {"citationID":"a5jc30kl8l","properties":{"formattedCitation":"(Hals 2018)","plainCitation":"(Hals 2018)","noteIndex":0},"citationItems":[{"id":5804,"uris":["http://zotero.org/users/local/oXQBh7r1/items/EFAGX6YT"],"uri":["http://zotero.org/users/local/oXQBh7r1/items/EFAGX6YT"],"itemData":{"id":5804,"type":"article-newspaper","abstract":"As Venezuela collapses, one little-known U.S. investment fund is poised to win big from litigation against its socialist government: Tenor Capital Management.","container-title":"Reuters","language":"en","source":"www.reuters.com","title":"Want to sue Venezuela for millions? These firms can help, for a price","title-short":"Want to sue Venezuela for millions?","URL":"https://www.reuters.com/article/us-venezuela-lawsuits-finance-insight-idUSKCN1OK0EP","author":[{"family":"Hals","given":"Tom"}],"accessed":{"date-parts":[["2020",5,20]]},"issued":{"date-parts":[["2018",12,21]]}}}],"schema":"https://github.com/citation-style-language/schema/raw/master/csl-citation.json"} </w:instrText>
      </w:r>
      <w:r w:rsidR="00D4242E" w:rsidRPr="003A37FF">
        <w:fldChar w:fldCharType="separate"/>
      </w:r>
      <w:r w:rsidR="00EE4102" w:rsidRPr="003A37FF">
        <w:t>(Hals 2018)</w:t>
      </w:r>
      <w:r w:rsidR="00D4242E" w:rsidRPr="003A37FF">
        <w:fldChar w:fldCharType="end"/>
      </w:r>
      <w:r w:rsidR="003D59D8" w:rsidRPr="003A37FF">
        <w:t xml:space="preserve">. When Crystallex won the </w:t>
      </w:r>
      <w:r w:rsidR="00E32280" w:rsidRPr="003A37FF">
        <w:t>award</w:t>
      </w:r>
      <w:r w:rsidR="003D59D8" w:rsidRPr="003A37FF">
        <w:t xml:space="preserve">, Tenor was promised an </w:t>
      </w:r>
      <w:r w:rsidR="000A32E4" w:rsidRPr="003A37FF">
        <w:t>$800 million-dollar</w:t>
      </w:r>
      <w:r w:rsidR="003D59D8" w:rsidRPr="003A37FF">
        <w:t xml:space="preserve"> pay day, a ten-fold return on its investment</w:t>
      </w:r>
      <w:r w:rsidR="00D4242E" w:rsidRPr="003A37FF">
        <w:t xml:space="preserve"> </w:t>
      </w:r>
      <w:r w:rsidR="00D4242E" w:rsidRPr="003A37FF">
        <w:fldChar w:fldCharType="begin"/>
      </w:r>
      <w:r w:rsidR="00EE4102" w:rsidRPr="003A37FF">
        <w:instrText xml:space="preserve"> ADDIN ZOTERO_ITEM CSL_CITATION {"citationID":"a20ha08g7a6","properties":{"formattedCitation":"(Hals 2018)","plainCitation":"(Hals 2018)","noteIndex":0},"citationItems":[{"id":5804,"uris":["http://zotero.org/users/local/oXQBh7r1/items/EFAGX6YT"],"uri":["http://zotero.org/users/local/oXQBh7r1/items/EFAGX6YT"],"itemData":{"id":5804,"type":"article-newspaper","abstract":"As Venezuela collapses, one little-known U.S. investment fund is poised to win big from litigation against its socialist government: Tenor Capital Management.","container-title":"Reuters","language":"en","source":"www.reuters.com","title":"Want to sue Venezuela for millions? These firms can help, for a price","title-short":"Want to sue Venezuela for millions?","URL":"https://www.reuters.com/article/us-venezuela-lawsuits-finance-insight-idUSKCN1OK0EP","author":[{"family":"Hals","given":"Tom"}],"accessed":{"date-parts":[["2020",5,20]]},"issued":{"date-parts":[["2018",12,21]]}}}],"schema":"https://github.com/citation-style-language/schema/raw/master/csl-citation.json"} </w:instrText>
      </w:r>
      <w:r w:rsidR="00D4242E" w:rsidRPr="003A37FF">
        <w:fldChar w:fldCharType="separate"/>
      </w:r>
      <w:r w:rsidR="00EE4102" w:rsidRPr="003A37FF">
        <w:t>(Hals 2018)</w:t>
      </w:r>
      <w:r w:rsidR="00D4242E" w:rsidRPr="003A37FF">
        <w:fldChar w:fldCharType="end"/>
      </w:r>
      <w:r w:rsidR="003D59D8" w:rsidRPr="003A37FF">
        <w:t xml:space="preserve">. </w:t>
      </w:r>
    </w:p>
    <w:p w14:paraId="25B9037C" w14:textId="26E5E4DA" w:rsidR="001B2E01" w:rsidRPr="003A37FF" w:rsidRDefault="003D59D8" w:rsidP="00E025C1">
      <w:pPr>
        <w:spacing w:line="480" w:lineRule="auto"/>
        <w:ind w:firstLine="720"/>
      </w:pPr>
      <w:r w:rsidRPr="003A37FF">
        <w:t>Crystallex</w:t>
      </w:r>
      <w:r w:rsidR="00347975" w:rsidRPr="003A37FF">
        <w:t xml:space="preserve"> brought its claim against the </w:t>
      </w:r>
      <w:r w:rsidR="00050BB1" w:rsidRPr="003A37FF">
        <w:t>Venezuelan government under</w:t>
      </w:r>
      <w:r w:rsidR="00347975" w:rsidRPr="003A37FF">
        <w:t xml:space="preserve"> the</w:t>
      </w:r>
      <w:r w:rsidR="00050BB1" w:rsidRPr="003A37FF">
        <w:t xml:space="preserve"> complex</w:t>
      </w:r>
      <w:r w:rsidR="006701D7" w:rsidRPr="003A37FF">
        <w:t xml:space="preserve"> international investment regime</w:t>
      </w:r>
      <w:r w:rsidR="00050BB1" w:rsidRPr="003A37FF">
        <w:t xml:space="preserve"> governing foreign direct investment</w:t>
      </w:r>
      <w:r w:rsidR="006701D7" w:rsidRPr="003A37FF">
        <w:t>. Comp</w:t>
      </w:r>
      <w:r w:rsidR="00050BB1" w:rsidRPr="003A37FF">
        <w:t xml:space="preserve">rised of over 3,000 legal agreements known as </w:t>
      </w:r>
      <w:r w:rsidR="00347975" w:rsidRPr="003A37FF">
        <w:t>Bilateral Investment Treat</w:t>
      </w:r>
      <w:r w:rsidR="0053407D" w:rsidRPr="003A37FF">
        <w:t>ies</w:t>
      </w:r>
      <w:r w:rsidR="00347975" w:rsidRPr="003A37FF">
        <w:t xml:space="preserve"> (BIT</w:t>
      </w:r>
      <w:r w:rsidR="0053407D" w:rsidRPr="003A37FF">
        <w:t>s</w:t>
      </w:r>
      <w:r w:rsidR="00347975" w:rsidRPr="003A37FF">
        <w:t>)</w:t>
      </w:r>
      <w:r w:rsidR="00050BB1" w:rsidRPr="003A37FF">
        <w:t xml:space="preserve">, </w:t>
      </w:r>
      <w:r w:rsidR="00447D61" w:rsidRPr="003A37FF">
        <w:t>the regime</w:t>
      </w:r>
      <w:r w:rsidR="00786697" w:rsidRPr="003A37FF">
        <w:t xml:space="preserve"> </w:t>
      </w:r>
      <w:r w:rsidR="00050BB1" w:rsidRPr="003A37FF">
        <w:t>give</w:t>
      </w:r>
      <w:r w:rsidR="00447D61" w:rsidRPr="003A37FF">
        <w:t>s</w:t>
      </w:r>
      <w:r w:rsidR="00050BB1" w:rsidRPr="003A37FF">
        <w:t xml:space="preserve"> </w:t>
      </w:r>
      <w:r w:rsidR="00E32280" w:rsidRPr="003A37FF">
        <w:t>multinational</w:t>
      </w:r>
      <w:r w:rsidR="00347975" w:rsidRPr="003A37FF">
        <w:t xml:space="preserve"> </w:t>
      </w:r>
      <w:r w:rsidR="00E32280" w:rsidRPr="003A37FF">
        <w:t>corporations</w:t>
      </w:r>
      <w:r w:rsidR="00347975" w:rsidRPr="003A37FF">
        <w:t xml:space="preserve"> the ability to sue their host government in a neutral</w:t>
      </w:r>
      <w:r w:rsidRPr="003A37FF">
        <w:t xml:space="preserve"> venue</w:t>
      </w:r>
      <w:r w:rsidR="00050BB1" w:rsidRPr="003A37FF">
        <w:t>.</w:t>
      </w:r>
      <w:r w:rsidR="00347975" w:rsidRPr="003A37FF">
        <w:t xml:space="preserve"> </w:t>
      </w:r>
      <w:r w:rsidR="00050BB1" w:rsidRPr="003A37FF">
        <w:t>T</w:t>
      </w:r>
      <w:r w:rsidR="004A6EBA" w:rsidRPr="003A37FF">
        <w:t>he</w:t>
      </w:r>
      <w:r w:rsidR="00050BB1" w:rsidRPr="003A37FF">
        <w:t>se</w:t>
      </w:r>
      <w:r w:rsidR="004A6EBA" w:rsidRPr="003A37FF">
        <w:t xml:space="preserve"> </w:t>
      </w:r>
      <w:r w:rsidR="00E127FB" w:rsidRPr="003A37FF">
        <w:t xml:space="preserve">newfound property </w:t>
      </w:r>
      <w:r w:rsidR="004A6EBA" w:rsidRPr="003A37FF">
        <w:t>rights</w:t>
      </w:r>
      <w:r w:rsidR="00347975" w:rsidRPr="003A37FF">
        <w:t xml:space="preserve"> w</w:t>
      </w:r>
      <w:r w:rsidR="004A6EBA" w:rsidRPr="003A37FF">
        <w:t xml:space="preserve">ere </w:t>
      </w:r>
      <w:r w:rsidR="00347975" w:rsidRPr="003A37FF">
        <w:t xml:space="preserve">supposed to </w:t>
      </w:r>
      <w:r w:rsidR="0085297B" w:rsidRPr="003A37FF">
        <w:t xml:space="preserve">check </w:t>
      </w:r>
      <w:r w:rsidR="00862A1F" w:rsidRPr="003A37FF">
        <w:t>arbitrary</w:t>
      </w:r>
      <w:r w:rsidR="0085297B" w:rsidRPr="003A37FF">
        <w:t xml:space="preserve"> government interference</w:t>
      </w:r>
      <w:r w:rsidR="00862A1F" w:rsidRPr="003A37FF">
        <w:t>, curb geopolitical tensions,</w:t>
      </w:r>
      <w:r w:rsidR="0085297B" w:rsidRPr="003A37FF">
        <w:t xml:space="preserve"> </w:t>
      </w:r>
      <w:r w:rsidR="00347975" w:rsidRPr="003A37FF">
        <w:t xml:space="preserve">and usher in a groundswell of foreign investment. </w:t>
      </w:r>
      <w:r w:rsidR="00243B70" w:rsidRPr="003A37FF">
        <w:t>In line with the a</w:t>
      </w:r>
      <w:r w:rsidR="004A6EBA" w:rsidRPr="003A37FF">
        <w:t xml:space="preserve">cademic </w:t>
      </w:r>
      <w:r w:rsidR="00243B70" w:rsidRPr="003A37FF">
        <w:t>research, the Crystallex example indicates that results have been mixed. Instead</w:t>
      </w:r>
      <w:r w:rsidR="008F796A" w:rsidRPr="003A37FF">
        <w:t>,</w:t>
      </w:r>
      <w:r w:rsidR="00243B70" w:rsidRPr="003A37FF">
        <w:t xml:space="preserve"> the </w:t>
      </w:r>
      <w:r w:rsidR="00E127FB" w:rsidRPr="003A37FF">
        <w:t>dispute</w:t>
      </w:r>
      <w:r w:rsidR="00243B70" w:rsidRPr="003A37FF">
        <w:t xml:space="preserve"> </w:t>
      </w:r>
      <w:r w:rsidR="00347975" w:rsidRPr="003A37FF">
        <w:t xml:space="preserve">highlights </w:t>
      </w:r>
      <w:r w:rsidR="00786697" w:rsidRPr="003A37FF">
        <w:t xml:space="preserve">how the regime is generating </w:t>
      </w:r>
      <w:r w:rsidR="00243B70" w:rsidRPr="003A37FF">
        <w:t xml:space="preserve">new distributional consequences as </w:t>
      </w:r>
      <w:r w:rsidR="00786697" w:rsidRPr="003A37FF">
        <w:t xml:space="preserve">international law </w:t>
      </w:r>
      <w:r w:rsidRPr="003A37FF">
        <w:t>has turned into a</w:t>
      </w:r>
      <w:r w:rsidR="00786697" w:rsidRPr="003A37FF">
        <w:t xml:space="preserve"> speculator’s game</w:t>
      </w:r>
      <w:r w:rsidRPr="003A37FF">
        <w:t xml:space="preserve">. By paying the legal fees of a claimant, </w:t>
      </w:r>
      <w:r w:rsidR="00E32280" w:rsidRPr="003A37FF">
        <w:t>and/</w:t>
      </w:r>
      <w:r w:rsidRPr="003A37FF">
        <w:t>or by buying up their</w:t>
      </w:r>
      <w:r w:rsidR="00E32280" w:rsidRPr="003A37FF">
        <w:t xml:space="preserve"> equity</w:t>
      </w:r>
      <w:r w:rsidRPr="003A37FF">
        <w:t xml:space="preserve">, </w:t>
      </w:r>
      <w:r w:rsidR="00FB0A44" w:rsidRPr="003A37FF">
        <w:t>third-party</w:t>
      </w:r>
      <w:r w:rsidRPr="003A37FF">
        <w:t xml:space="preserve"> funders are</w:t>
      </w:r>
      <w:r w:rsidR="00E127FB" w:rsidRPr="003A37FF">
        <w:t xml:space="preserve"> </w:t>
      </w:r>
      <w:r w:rsidRPr="003A37FF">
        <w:t xml:space="preserve">able to </w:t>
      </w:r>
      <w:r w:rsidR="00786697" w:rsidRPr="003A37FF">
        <w:t xml:space="preserve">bet </w:t>
      </w:r>
      <w:r w:rsidRPr="003A37FF">
        <w:t xml:space="preserve">on the outcomes of </w:t>
      </w:r>
      <w:r w:rsidR="00167E1A" w:rsidRPr="003A37FF">
        <w:t>I</w:t>
      </w:r>
      <w:r w:rsidRPr="003A37FF">
        <w:t>nvestor-</w:t>
      </w:r>
      <w:r w:rsidR="00167E1A" w:rsidRPr="003A37FF">
        <w:t>S</w:t>
      </w:r>
      <w:r w:rsidRPr="003A37FF">
        <w:t xml:space="preserve">tate </w:t>
      </w:r>
      <w:r w:rsidR="00167E1A" w:rsidRPr="003A37FF">
        <w:t>D</w:t>
      </w:r>
      <w:r w:rsidRPr="003A37FF">
        <w:t>ispute</w:t>
      </w:r>
      <w:r w:rsidR="00E32280" w:rsidRPr="003A37FF">
        <w:t xml:space="preserve"> </w:t>
      </w:r>
      <w:r w:rsidR="00167E1A" w:rsidRPr="003A37FF">
        <w:t>S</w:t>
      </w:r>
      <w:r w:rsidR="00E32280" w:rsidRPr="003A37FF">
        <w:t>ettlement (ISDS)</w:t>
      </w:r>
      <w:r w:rsidRPr="003A37FF">
        <w:t xml:space="preserve">. </w:t>
      </w:r>
      <w:r w:rsidR="00E32280" w:rsidRPr="003A37FF">
        <w:t>How and why did the investment regime become a</w:t>
      </w:r>
      <w:r w:rsidR="00B05DF0">
        <w:t>n</w:t>
      </w:r>
      <w:r w:rsidR="00786697" w:rsidRPr="003A37FF">
        <w:t xml:space="preserve"> investment vehicle</w:t>
      </w:r>
      <w:r w:rsidRPr="003A37FF">
        <w:t>? M</w:t>
      </w:r>
      <w:r w:rsidR="00050BB1" w:rsidRPr="003A37FF">
        <w:t>ore generally</w:t>
      </w:r>
      <w:r w:rsidRPr="003A37FF">
        <w:t xml:space="preserve">, when and why </w:t>
      </w:r>
      <w:r w:rsidR="00E32280" w:rsidRPr="003A37FF">
        <w:t>d</w:t>
      </w:r>
      <w:r w:rsidRPr="003A37FF">
        <w:t>o regimes evolve to generate unintended</w:t>
      </w:r>
      <w:r w:rsidR="00E127FB" w:rsidRPr="003A37FF">
        <w:t>, often pathological,</w:t>
      </w:r>
      <w:r w:rsidRPr="003A37FF">
        <w:t xml:space="preserve"> consequences?</w:t>
      </w:r>
    </w:p>
    <w:p w14:paraId="46DD37BA" w14:textId="45BEEE32" w:rsidR="00ED76EB" w:rsidRPr="003A37FF" w:rsidRDefault="00347975" w:rsidP="00877A14">
      <w:pPr>
        <w:spacing w:line="480" w:lineRule="auto"/>
      </w:pPr>
      <w:r w:rsidRPr="003A37FF">
        <w:lastRenderedPageBreak/>
        <w:tab/>
      </w:r>
      <w:r w:rsidR="00A00E98" w:rsidRPr="003A37FF">
        <w:t xml:space="preserve">Integrating insights from the sociology </w:t>
      </w:r>
      <w:r w:rsidR="00F42A87" w:rsidRPr="003A37FF">
        <w:t xml:space="preserve">of fields </w:t>
      </w:r>
      <w:r w:rsidR="00A00E98" w:rsidRPr="003A37FF">
        <w:t xml:space="preserve">into work on regime </w:t>
      </w:r>
      <w:r w:rsidR="00862A1F" w:rsidRPr="003A37FF">
        <w:t>complexity</w:t>
      </w:r>
      <w:r w:rsidR="00CF70D8" w:rsidRPr="003A37FF">
        <w:t xml:space="preserve"> </w:t>
      </w:r>
      <w:r w:rsidR="00CF70D8" w:rsidRPr="003A37FF">
        <w:fldChar w:fldCharType="begin"/>
      </w:r>
      <w:r w:rsidR="009A630F" w:rsidRPr="003A37FF">
        <w:instrText xml:space="preserve"> ADDIN ZOTERO_ITEM CSL_CITATION {"citationID":"a14vt7q30r3","properties":{"formattedCitation":"(Alter and Meunier 2009; Fligstein and McAdam 2012)","plainCitation":"(Alter and Meunier 2009; Fligstein and McAdam 2012)","noteIndex":0},"citationItems":[{"id":167,"uris":["http://zotero.org/users/local/oXQBh7r1/items/CBHJZFW5"],"uri":["http://zotero.org/users/local/oXQBh7r1/items/CBHJZFW5"],"itemData":{"id":167,"type":"article-journal","container-title":"Perspectives on politics","issue":"01","page":"13–24","source":"Google Scholar","title":"The Politics of International Regime Complexity","volume":"7","author":[{"family":"Alter","given":"Karen J."},{"family":"Meunier","given":"Sophie"}],"issued":{"date-parts":[["2009"]]}}},{"id":1209,"uris":["http://zotero.org/users/local/oXQBh7r1/items/EJ3HUVFE"],"uri":["http://zotero.org/users/local/oXQBh7r1/items/EJ3HUVFE"],"itemData":{"id":1209,"type":"book","publisher":"Oxford University Press","source":"Google Scholar","title":"A theory of fields","URL":"https://books.google.com/books?hl=en&amp;lr=&amp;id=7uFoAgAAQBAJ&amp;oi=fnd&amp;pg=PP1&amp;dq=fligstein+fields&amp;ots=y9l_x8irpe&amp;sig=1sXoMqjG30Nxlfz8JPo3k-SwpfY","author":[{"family":"Fligstein","given":"Neil"},{"family":"McAdam","given":"Doug"}],"accessed":{"date-parts":[["2016",7,4]]},"issued":{"date-parts":[["2012"]]}}}],"schema":"https://github.com/citation-style-language/schema/raw/master/csl-citation.json"} </w:instrText>
      </w:r>
      <w:r w:rsidR="00CF70D8" w:rsidRPr="003A37FF">
        <w:fldChar w:fldCharType="separate"/>
      </w:r>
      <w:r w:rsidR="009A630F" w:rsidRPr="003A37FF">
        <w:t>(Alter and Meunier 2009; Fligstein and McAdam 2012)</w:t>
      </w:r>
      <w:r w:rsidR="00CF70D8" w:rsidRPr="003A37FF">
        <w:fldChar w:fldCharType="end"/>
      </w:r>
      <w:r w:rsidR="00C25CBA" w:rsidRPr="003A37FF">
        <w:t>,</w:t>
      </w:r>
      <w:r w:rsidR="00A00E98" w:rsidRPr="003A37FF">
        <w:t xml:space="preserve"> we argue that </w:t>
      </w:r>
      <w:r w:rsidR="00C25CBA" w:rsidRPr="003A37FF">
        <w:t xml:space="preserve">institutional change </w:t>
      </w:r>
      <w:r w:rsidR="00A00E98" w:rsidRPr="003A37FF">
        <w:t xml:space="preserve">often results as actors from different </w:t>
      </w:r>
      <w:r w:rsidR="00D74775" w:rsidRPr="003A37FF">
        <w:t>fields</w:t>
      </w:r>
      <w:r w:rsidR="00A00E98" w:rsidRPr="003A37FF">
        <w:t xml:space="preserve"> span </w:t>
      </w:r>
      <w:r w:rsidR="00864568" w:rsidRPr="003A37FF">
        <w:t>them</w:t>
      </w:r>
      <w:r w:rsidR="00C25CBA" w:rsidRPr="003A37FF">
        <w:t xml:space="preserve">. </w:t>
      </w:r>
      <w:r w:rsidR="00D74775" w:rsidRPr="003A37FF">
        <w:t xml:space="preserve">Fields encompass local social orders, in which a set of actors engage </w:t>
      </w:r>
      <w:r w:rsidR="004152E0" w:rsidRPr="003A37FF">
        <w:t xml:space="preserve">in regularized relations with each other based on commonly held beliefs and understandings about how institutions function. </w:t>
      </w:r>
      <w:r w:rsidR="00466ECD" w:rsidRPr="003A37FF">
        <w:t xml:space="preserve">Governance systems such as </w:t>
      </w:r>
      <w:r w:rsidR="004152E0" w:rsidRPr="003A37FF">
        <w:t>international regime</w:t>
      </w:r>
      <w:r w:rsidR="00A00892" w:rsidRPr="003A37FF">
        <w:t>s</w:t>
      </w:r>
      <w:r w:rsidR="004152E0" w:rsidRPr="003A37FF">
        <w:t xml:space="preserve"> are embedded within such field</w:t>
      </w:r>
      <w:r w:rsidR="00862A1F" w:rsidRPr="003A37FF">
        <w:t xml:space="preserve">s - </w:t>
      </w:r>
      <w:r w:rsidR="004152E0" w:rsidRPr="003A37FF">
        <w:t xml:space="preserve">their use functions are naturally shaped by field dynamics. </w:t>
      </w:r>
      <w:r w:rsidR="00C25CBA" w:rsidRPr="003A37FF">
        <w:t>Actors</w:t>
      </w:r>
      <w:r w:rsidR="004152E0" w:rsidRPr="003A37FF">
        <w:t xml:space="preserve"> from distinct fields</w:t>
      </w:r>
      <w:r w:rsidR="00C25CBA" w:rsidRPr="003A37FF">
        <w:t xml:space="preserve"> bring with them ideas and templates from their </w:t>
      </w:r>
      <w:r w:rsidR="007E701D" w:rsidRPr="003A37FF">
        <w:t>native</w:t>
      </w:r>
      <w:r w:rsidR="00C25CBA" w:rsidRPr="003A37FF">
        <w:t xml:space="preserve"> </w:t>
      </w:r>
      <w:r w:rsidR="004152E0" w:rsidRPr="003A37FF">
        <w:t xml:space="preserve">fields </w:t>
      </w:r>
      <w:r w:rsidR="00CF70D8" w:rsidRPr="003A37FF">
        <w:fldChar w:fldCharType="begin"/>
      </w:r>
      <w:r w:rsidR="005921C8" w:rsidRPr="003A37FF">
        <w:instrText xml:space="preserve"> ADDIN ZOTERO_ITEM CSL_CITATION {"citationID":"bz7vk9r4","properties":{"formattedCitation":"(Seabrooke and Tsingou 2009; Sending 2015; Kalyanpur and Newman 2017)","plainCitation":"(Seabrooke and Tsingou 2009; Sending 2015; Kalyanpur and Newman 2017)","noteIndex":0},"citationItems":[{"id":802,"uris":["http://zotero.org/users/local/oXQBh7r1/items/PJV764BR"],"uri":["http://zotero.org/users/local/oXQBh7r1/items/PJV764BR"],"itemData":{"id":802,"type":"article-journal","source":"Google Scholar","title":"Revolving doors and linked ecologies in the world economy: policy locations and the practice of international financial reform","title-short":"Revolving doors and linked ecologies in the world economy","URL":"http://wrap.warwick.ac.uk/1849","author":[{"family":"Seabrooke","given":"Leonard"},{"family":"Tsingou","given":"Eleni"}],"accessed":{"date-parts":[["2016",4,6]]},"issued":{"date-parts":[["2009"]]}}},{"id":5693,"uris":["http://zotero.org/users/local/oXQBh7r1/items/H42GR7HQ"],"uri":["http://zotero.org/users/local/oXQBh7r1/items/H42GR7HQ"],"itemData":{"id":5693,"type":"book","publisher":"University of Michigan Press","source":"Google Scholar","title":"The politics of expertise: Competing for authority in global governance","title-short":"The politics of expertise","author":[{"family":"Sending","given":"Ole Jacob"}],"issued":{"date-parts":[["2015"]]}}},{"id":4206,"uris":["http://zotero.org/users/local/oXQBh7r1/items/XVX4HSAT"],"uri":["http://zotero.org/users/local/oXQBh7r1/items/XVX4HSAT"],"itemData":{"id":4206,"type":"article-journal","container-title":"Review of International Political Economy","issue":"3","page":"363–392","source":"Google Scholar","title":"Form over function in finance: international institutional design by bricolage","title-short":"Form over function in finance","volume":"24","author":[{"family":"Kalyanpur","given":"Nikhil"},{"family":"Newman","given":"Abraham"}],"issued":{"date-parts":[["2017"]]}}}],"schema":"https://github.com/citation-style-language/schema/raw/master/csl-citation.json"} </w:instrText>
      </w:r>
      <w:r w:rsidR="00CF70D8" w:rsidRPr="003A37FF">
        <w:fldChar w:fldCharType="separate"/>
      </w:r>
      <w:r w:rsidR="005921C8" w:rsidRPr="003A37FF">
        <w:rPr>
          <w:noProof/>
        </w:rPr>
        <w:t>(Seabrooke and Tsingou 2009; Sending 2015; Kalyanpur and Newman 2017)</w:t>
      </w:r>
      <w:r w:rsidR="00CF70D8" w:rsidRPr="003A37FF">
        <w:fldChar w:fldCharType="end"/>
      </w:r>
      <w:r w:rsidR="00C25CBA" w:rsidRPr="003A37FF">
        <w:t>. As they become more involved in the da</w:t>
      </w:r>
      <w:r w:rsidR="00864568" w:rsidRPr="003A37FF">
        <w:t>y-</w:t>
      </w:r>
      <w:r w:rsidR="00C25CBA" w:rsidRPr="003A37FF">
        <w:t>to</w:t>
      </w:r>
      <w:r w:rsidR="00864568" w:rsidRPr="003A37FF">
        <w:t>-</w:t>
      </w:r>
      <w:r w:rsidR="00C25CBA" w:rsidRPr="003A37FF">
        <w:t>day operation of the regime,</w:t>
      </w:r>
      <w:r w:rsidR="00862A1F" w:rsidRPr="003A37FF">
        <w:t xml:space="preserve"> collaborating with members of the target regime,</w:t>
      </w:r>
      <w:r w:rsidR="00C25CBA" w:rsidRPr="003A37FF">
        <w:t xml:space="preserve"> these actors come to restructure its basic function</w:t>
      </w:r>
      <w:r w:rsidR="00864568" w:rsidRPr="003A37FF">
        <w:t xml:space="preserve"> along the ideas and principles</w:t>
      </w:r>
      <w:r w:rsidR="00B07E2F" w:rsidRPr="003A37FF">
        <w:t xml:space="preserve"> that </w:t>
      </w:r>
      <w:r w:rsidR="00C25CBA" w:rsidRPr="003A37FF">
        <w:t>animate their</w:t>
      </w:r>
      <w:r w:rsidR="004152E0" w:rsidRPr="003A37FF">
        <w:t xml:space="preserve"> native</w:t>
      </w:r>
      <w:r w:rsidR="00C25CBA" w:rsidRPr="003A37FF">
        <w:t xml:space="preserve"> </w:t>
      </w:r>
      <w:r w:rsidR="004152E0" w:rsidRPr="003A37FF">
        <w:t xml:space="preserve">social orders and </w:t>
      </w:r>
      <w:r w:rsidR="00C25CBA" w:rsidRPr="003A37FF">
        <w:t>profession</w:t>
      </w:r>
      <w:r w:rsidR="004152E0" w:rsidRPr="003A37FF">
        <w:t>s</w:t>
      </w:r>
      <w:r w:rsidR="00C25CBA" w:rsidRPr="003A37FF">
        <w:t xml:space="preserve">. </w:t>
      </w:r>
      <w:r w:rsidR="00864568" w:rsidRPr="003A37FF">
        <w:t>Such cross-</w:t>
      </w:r>
      <w:r w:rsidR="004152E0" w:rsidRPr="003A37FF">
        <w:t>field interactions</w:t>
      </w:r>
      <w:r w:rsidR="00864568" w:rsidRPr="003A37FF">
        <w:t xml:space="preserve">, then, can have significant consequences for the operation of the target regime. </w:t>
      </w:r>
    </w:p>
    <w:p w14:paraId="7D74F98B" w14:textId="58E2DB6E" w:rsidR="00AB0E56" w:rsidRPr="003A37FF" w:rsidRDefault="00C25CBA" w:rsidP="00C82FEC">
      <w:pPr>
        <w:spacing w:line="480" w:lineRule="auto"/>
        <w:ind w:firstLine="720"/>
      </w:pPr>
      <w:r w:rsidRPr="003A37FF">
        <w:t>Specifically, w</w:t>
      </w:r>
      <w:r w:rsidR="00713F21" w:rsidRPr="003A37FF">
        <w:t xml:space="preserve">e argue that the links between actors </w:t>
      </w:r>
      <w:r w:rsidR="00B05DF0">
        <w:t xml:space="preserve">from </w:t>
      </w:r>
      <w:r w:rsidR="00CC363F" w:rsidRPr="003A37FF">
        <w:t>financi</w:t>
      </w:r>
      <w:r w:rsidRPr="003A37FF">
        <w:t>al and</w:t>
      </w:r>
      <w:r w:rsidR="004152E0" w:rsidRPr="003A37FF">
        <w:t xml:space="preserve"> international law</w:t>
      </w:r>
      <w:r w:rsidRPr="003A37FF">
        <w:t xml:space="preserve"> </w:t>
      </w:r>
      <w:r w:rsidR="004152E0" w:rsidRPr="003A37FF">
        <w:t>fields</w:t>
      </w:r>
      <w:r w:rsidRPr="003A37FF">
        <w:t xml:space="preserve"> ha</w:t>
      </w:r>
      <w:r w:rsidR="00A0424F" w:rsidRPr="003A37FF">
        <w:t>ve</w:t>
      </w:r>
      <w:r w:rsidRPr="003A37FF">
        <w:t xml:space="preserve"> le</w:t>
      </w:r>
      <w:r w:rsidR="00CC363F" w:rsidRPr="003A37FF">
        <w:t>d</w:t>
      </w:r>
      <w:r w:rsidR="00713F21" w:rsidRPr="003A37FF">
        <w:t xml:space="preserve"> the investment regime </w:t>
      </w:r>
      <w:r w:rsidR="00CC363F" w:rsidRPr="003A37FF">
        <w:t>to</w:t>
      </w:r>
      <w:r w:rsidR="005928BF" w:rsidRPr="003A37FF">
        <w:t xml:space="preserve"> </w:t>
      </w:r>
      <w:r w:rsidR="00CC363F" w:rsidRPr="003A37FF">
        <w:t>take</w:t>
      </w:r>
      <w:r w:rsidR="008A20AC" w:rsidRPr="003A37FF">
        <w:t xml:space="preserve"> on a new role</w:t>
      </w:r>
      <w:r w:rsidR="00713F21" w:rsidRPr="003A37FF">
        <w:t>.</w:t>
      </w:r>
      <w:r w:rsidR="00C82FEC" w:rsidRPr="003A37FF">
        <w:t xml:space="preserve"> In the absence of </w:t>
      </w:r>
      <w:r w:rsidR="00CF70D8" w:rsidRPr="003A37FF">
        <w:t>clear rules</w:t>
      </w:r>
      <w:r w:rsidR="00C82FEC" w:rsidRPr="003A37FF">
        <w:t xml:space="preserve"> surrounding who can put up the money to make international </w:t>
      </w:r>
      <w:r w:rsidR="00FD7AD4" w:rsidRPr="003A37FF">
        <w:t>arbitration</w:t>
      </w:r>
      <w:r w:rsidR="00C82FEC" w:rsidRPr="003A37FF">
        <w:t xml:space="preserve"> possible, financial professio</w:t>
      </w:r>
      <w:r w:rsidR="00864568" w:rsidRPr="003A37FF">
        <w:t>nals have filled the void.</w:t>
      </w:r>
      <w:r w:rsidR="009136CA" w:rsidRPr="003A37FF">
        <w:t xml:space="preserve"> As hedge funds in the finance field and lawyers in the international law field sought to reinvent themselves after the 2008 financial crisis, they teamed up to develop the “</w:t>
      </w:r>
      <w:r w:rsidR="00FB0A44" w:rsidRPr="003A37FF">
        <w:t>third-party</w:t>
      </w:r>
      <w:r w:rsidR="009136CA" w:rsidRPr="003A37FF">
        <w:t xml:space="preserve"> finance” industry. Using </w:t>
      </w:r>
      <w:r w:rsidR="00C82FEC" w:rsidRPr="003A37FF">
        <w:t>their respective skill sets</w:t>
      </w:r>
      <w:r w:rsidR="009136CA" w:rsidRPr="003A37FF">
        <w:t>, they transformed ISDS into a better’s game where i</w:t>
      </w:r>
      <w:r w:rsidR="00447D61" w:rsidRPr="003A37FF">
        <w:t xml:space="preserve">nvestors </w:t>
      </w:r>
      <w:r w:rsidR="009136CA" w:rsidRPr="003A37FF">
        <w:t>have a chan</w:t>
      </w:r>
      <w:r w:rsidR="009B5BB8" w:rsidRPr="003A37FF">
        <w:t>c</w:t>
      </w:r>
      <w:r w:rsidR="009136CA" w:rsidRPr="003A37FF">
        <w:t>e to</w:t>
      </w:r>
      <w:r w:rsidR="00447D61" w:rsidRPr="003A37FF">
        <w:t xml:space="preserve"> reap large rewards. Industrial firms are natural winners in this system as well – they are able to better manage their risk by taking litigation off their balance sheets, alleviat</w:t>
      </w:r>
      <w:r w:rsidR="00B05DF0">
        <w:t>ing</w:t>
      </w:r>
      <w:r w:rsidR="00447D61" w:rsidRPr="003A37FF">
        <w:t xml:space="preserve"> shareholder pressure. This leaves governments and taxpayers, largely in the developing world</w:t>
      </w:r>
      <w:r w:rsidR="00B05DF0">
        <w:t xml:space="preserve">, </w:t>
      </w:r>
      <w:r w:rsidR="00447D61" w:rsidRPr="003A37FF">
        <w:t>left on the hook for such claims.</w:t>
      </w:r>
      <w:r w:rsidR="009136CA" w:rsidRPr="003A37FF">
        <w:t xml:space="preserve"> </w:t>
      </w:r>
    </w:p>
    <w:p w14:paraId="2BD40A44" w14:textId="42AB14A7" w:rsidR="00CA3107" w:rsidRPr="003A37FF" w:rsidRDefault="008429B4" w:rsidP="00B07E2F">
      <w:pPr>
        <w:spacing w:line="480" w:lineRule="auto"/>
        <w:ind w:firstLine="720"/>
      </w:pPr>
      <w:r w:rsidRPr="003A37FF">
        <w:lastRenderedPageBreak/>
        <w:t xml:space="preserve">Empirically, the </w:t>
      </w:r>
      <w:r w:rsidR="00B05DF0">
        <w:t>article</w:t>
      </w:r>
      <w:r w:rsidRPr="003A37FF">
        <w:t xml:space="preserve"> </w:t>
      </w:r>
      <w:r w:rsidR="00371CF9" w:rsidRPr="003A37FF">
        <w:t xml:space="preserve">sheds light on unanticipated consequences of the </w:t>
      </w:r>
      <w:r w:rsidR="00444D73" w:rsidRPr="003A37FF">
        <w:t>investment regime</w:t>
      </w:r>
      <w:r w:rsidR="00862A1F" w:rsidRPr="003A37FF">
        <w:t xml:space="preserve">. </w:t>
      </w:r>
      <w:r w:rsidR="009136CA" w:rsidRPr="003A37FF">
        <w:t xml:space="preserve">As existing work </w:t>
      </w:r>
      <w:r w:rsidR="00527B20" w:rsidRPr="003A37FF">
        <w:t xml:space="preserve">on the regime’s operation focuses on </w:t>
      </w:r>
      <w:r w:rsidR="00862A1F" w:rsidRPr="003A37FF">
        <w:t>the immediate government-business relationships</w:t>
      </w:r>
      <w:r w:rsidR="00527B20" w:rsidRPr="003A37FF">
        <w:t xml:space="preserve">, it suffers from potentially important biases by omitting the presence of </w:t>
      </w:r>
      <w:r w:rsidR="00FB0A44" w:rsidRPr="003A37FF">
        <w:t>third-party</w:t>
      </w:r>
      <w:r w:rsidR="00527B20" w:rsidRPr="003A37FF">
        <w:t xml:space="preserve"> funders. If cases are driven by investor return rather than firm-specific losses, this could profoundly shape the number of cases filed, the types of complaints, and the </w:t>
      </w:r>
      <w:r w:rsidR="000A32E4" w:rsidRPr="003A37FF">
        <w:t>efficiency of the dispute resolution process</w:t>
      </w:r>
      <w:r w:rsidR="00527B20" w:rsidRPr="003A37FF">
        <w:t xml:space="preserve">. </w:t>
      </w:r>
      <w:r w:rsidR="00444D73" w:rsidRPr="003A37FF">
        <w:t xml:space="preserve">More generally, it demonstrates the way in which financialization </w:t>
      </w:r>
      <w:r w:rsidR="00371CF9" w:rsidRPr="003A37FF">
        <w:t>has</w:t>
      </w:r>
      <w:r w:rsidR="00444D73" w:rsidRPr="003A37FF">
        <w:t xml:space="preserve"> extend</w:t>
      </w:r>
      <w:r w:rsidR="00371CF9" w:rsidRPr="003A37FF">
        <w:t>ed</w:t>
      </w:r>
      <w:r w:rsidR="00444D73" w:rsidRPr="003A37FF">
        <w:t xml:space="preserve"> well beyond traditional economic sectors</w:t>
      </w:r>
      <w:r w:rsidR="00B05DF0">
        <w:t>,</w:t>
      </w:r>
      <w:r w:rsidR="00284214" w:rsidRPr="003A37FF">
        <w:t xml:space="preserve"> </w:t>
      </w:r>
      <w:r w:rsidR="00444D73" w:rsidRPr="003A37FF">
        <w:t>reconfiguring the practice of international law.</w:t>
      </w:r>
      <w:r w:rsidR="00485EE4" w:rsidRPr="003A37FF">
        <w:t xml:space="preserve"> </w:t>
      </w:r>
      <w:r w:rsidR="00B05DF0">
        <w:t>O</w:t>
      </w:r>
      <w:r w:rsidR="00485EE4" w:rsidRPr="003A37FF">
        <w:t>ur findings compliment</w:t>
      </w:r>
      <w:r w:rsidR="00B408D4" w:rsidRPr="003A37FF">
        <w:t xml:space="preserve">s important </w:t>
      </w:r>
      <w:r w:rsidR="00485EE4" w:rsidRPr="003A37FF">
        <w:t>work by Katharina Pistor</w:t>
      </w:r>
      <w:r w:rsidR="00CC2AB3" w:rsidRPr="003A37FF">
        <w:t xml:space="preserve"> </w:t>
      </w:r>
      <w:r w:rsidR="00CC2AB3" w:rsidRPr="003A37FF">
        <w:fldChar w:fldCharType="begin"/>
      </w:r>
      <w:r w:rsidR="00847121" w:rsidRPr="003A37FF">
        <w:instrText xml:space="preserve"> ADDIN ZOTERO_ITEM CSL_CITATION {"citationID":"ar477ud767","properties":{"formattedCitation":"(2019)","plainCitation":"(2019)","noteIndex":0},"citationItems":[{"id":5087,"uris":["http://zotero.org/users/local/oXQBh7r1/items/G5CA27JR"],"uri":["http://zotero.org/users/local/oXQBh7r1/items/G5CA27JR"],"itemData":{"id":5087,"type":"book","publisher":"Princeton University Press","source":"Google Scholar","title":"The Code of Capital: How the Law Creates Wealth and Inequality","title-short":"The Code of Capital","author":[{"family":"Pistor","given":"Katharina"}],"issued":{"date-parts":[["2019"]]}},"suppress-author":true}],"schema":"https://github.com/citation-style-language/schema/raw/master/csl-citation.json"} </w:instrText>
      </w:r>
      <w:r w:rsidR="00CC2AB3" w:rsidRPr="003A37FF">
        <w:fldChar w:fldCharType="separate"/>
      </w:r>
      <w:r w:rsidR="00847121" w:rsidRPr="003A37FF">
        <w:t>(2019)</w:t>
      </w:r>
      <w:r w:rsidR="00CC2AB3" w:rsidRPr="003A37FF">
        <w:fldChar w:fldCharType="end"/>
      </w:r>
      <w:r w:rsidR="00485EE4" w:rsidRPr="003A37FF">
        <w:t xml:space="preserve">. In </w:t>
      </w:r>
      <w:r w:rsidR="00485EE4" w:rsidRPr="003A37FF">
        <w:rPr>
          <w:i/>
          <w:iCs/>
        </w:rPr>
        <w:t>Code of Capital</w:t>
      </w:r>
      <w:r w:rsidR="00485EE4" w:rsidRPr="003A37FF">
        <w:t xml:space="preserve">, Pistor argues that law is central </w:t>
      </w:r>
      <w:r w:rsidR="00EC7F94">
        <w:t>for</w:t>
      </w:r>
      <w:r w:rsidR="00485EE4" w:rsidRPr="003A37FF">
        <w:t xml:space="preserve"> financialization </w:t>
      </w:r>
      <w:r w:rsidR="004F3CC8" w:rsidRPr="003A37FF">
        <w:t>as</w:t>
      </w:r>
      <w:r w:rsidR="00485EE4" w:rsidRPr="003A37FF">
        <w:t xml:space="preserve"> </w:t>
      </w:r>
      <w:r w:rsidR="004F3CC8" w:rsidRPr="003A37FF">
        <w:t>it creates</w:t>
      </w:r>
      <w:r w:rsidR="00485EE4" w:rsidRPr="003A37FF">
        <w:t xml:space="preserve"> the </w:t>
      </w:r>
      <w:r w:rsidR="00BC375C" w:rsidRPr="003A37FF">
        <w:t>institutional foundation</w:t>
      </w:r>
      <w:r w:rsidR="003027A2" w:rsidRPr="003A37FF">
        <w:t>s</w:t>
      </w:r>
      <w:r w:rsidR="008C2312" w:rsidRPr="003A37FF">
        <w:t xml:space="preserve"> </w:t>
      </w:r>
      <w:r w:rsidR="00485EE4" w:rsidRPr="003A37FF">
        <w:t xml:space="preserve">to turn </w:t>
      </w:r>
      <w:r w:rsidR="00BC375C" w:rsidRPr="003A37FF">
        <w:t>a resource</w:t>
      </w:r>
      <w:r w:rsidR="00485EE4" w:rsidRPr="003A37FF">
        <w:t xml:space="preserve"> into </w:t>
      </w:r>
      <w:r w:rsidR="00BC375C" w:rsidRPr="003A37FF">
        <w:t>revenue generating</w:t>
      </w:r>
      <w:r w:rsidR="00485EE4" w:rsidRPr="003A37FF">
        <w:t xml:space="preserve"> form. We </w:t>
      </w:r>
      <w:r w:rsidR="00CC2AB3" w:rsidRPr="003A37FF">
        <w:t>examine</w:t>
      </w:r>
      <w:r w:rsidR="00485EE4" w:rsidRPr="003A37FF">
        <w:t xml:space="preserve"> how the same </w:t>
      </w:r>
      <w:r w:rsidR="00DF608E" w:rsidRPr="003A37FF">
        <w:t xml:space="preserve">conceptual </w:t>
      </w:r>
      <w:r w:rsidR="00485EE4" w:rsidRPr="003A37FF">
        <w:t>tools that have t</w:t>
      </w:r>
      <w:r w:rsidR="00EC7F94">
        <w:t>ransformed</w:t>
      </w:r>
      <w:r w:rsidR="00485EE4" w:rsidRPr="003A37FF">
        <w:t xml:space="preserve"> home mortgages and corporate debt </w:t>
      </w:r>
      <w:r w:rsidR="00CC2AB3" w:rsidRPr="003A37FF">
        <w:t xml:space="preserve">into securities </w:t>
      </w:r>
      <w:r w:rsidR="00485EE4" w:rsidRPr="003A37FF">
        <w:t xml:space="preserve">are now applied to the legal process itself. </w:t>
      </w:r>
    </w:p>
    <w:p w14:paraId="7C5027D2" w14:textId="295BDF59" w:rsidR="00AB440B" w:rsidRPr="003A37FF" w:rsidRDefault="00296EE9" w:rsidP="00C25CBA">
      <w:pPr>
        <w:spacing w:line="480" w:lineRule="auto"/>
        <w:ind w:firstLine="720"/>
      </w:pPr>
      <w:r w:rsidRPr="003A37FF">
        <w:t>The theoretical analysis has a number of less</w:t>
      </w:r>
      <w:r w:rsidR="008429B4" w:rsidRPr="003A37FF">
        <w:t xml:space="preserve">ons for </w:t>
      </w:r>
      <w:r w:rsidR="00A0424F" w:rsidRPr="003A37FF">
        <w:t>political science</w:t>
      </w:r>
      <w:r w:rsidRPr="003A37FF">
        <w:t xml:space="preserve"> scholarship</w:t>
      </w:r>
      <w:r w:rsidR="00A42BF1" w:rsidRPr="003A37FF">
        <w:t xml:space="preserve"> more broadly</w:t>
      </w:r>
      <w:r w:rsidRPr="003A37FF">
        <w:t xml:space="preserve">. First, it builds on work </w:t>
      </w:r>
      <w:r w:rsidR="00C82FEC" w:rsidRPr="003A37FF">
        <w:t>recognizing</w:t>
      </w:r>
      <w:r w:rsidRPr="003A37FF">
        <w:t xml:space="preserve"> </w:t>
      </w:r>
      <w:r w:rsidR="00C25CBA" w:rsidRPr="003A37FF">
        <w:t xml:space="preserve">that </w:t>
      </w:r>
      <w:r w:rsidRPr="003A37FF">
        <w:t>financialization is not a discrete domestic</w:t>
      </w:r>
      <w:r w:rsidR="0075367D" w:rsidRPr="003A37FF">
        <w:t xml:space="preserve"> or international</w:t>
      </w:r>
      <w:r w:rsidRPr="003A37FF">
        <w:t xml:space="preserve"> process but instead involves </w:t>
      </w:r>
      <w:r w:rsidR="0075367D" w:rsidRPr="003A37FF">
        <w:t>relations spilling over</w:t>
      </w:r>
      <w:r w:rsidRPr="003A37FF">
        <w:t xml:space="preserve"> at t</w:t>
      </w:r>
      <w:r w:rsidR="00C25CBA" w:rsidRPr="003A37FF">
        <w:t>he transnational level</w:t>
      </w:r>
      <w:r w:rsidR="00CF70D8" w:rsidRPr="003A37FF">
        <w:t xml:space="preserve"> </w:t>
      </w:r>
      <w:r w:rsidR="00CF70D8" w:rsidRPr="003A37FF">
        <w:fldChar w:fldCharType="begin"/>
      </w:r>
      <w:r w:rsidR="00E80061" w:rsidRPr="003A37FF">
        <w:instrText xml:space="preserve"> ADDIN ZOTERO_ITEM CSL_CITATION {"citationID":"5XVSjuRO","properties":{"formattedCitation":"(N\\uc0\\u246{}lke and Perry 2007; Kalyanpur 2018)","plainCitation":"(Nölke and Perry 2007; Kalyanpur 2018)","noteIndex":0},"citationItems":[{"id":4177,"uris":["http://zotero.org/users/local/oXQBh7r1/items/BR5CRX55"],"uri":["http://zotero.org/users/local/oXQBh7r1/items/BR5CRX55"],"itemData":{"id":4177,"type":"article-journal","container-title":"Business and Politics","issue":"3","page":"1–25","source":"Google Scholar","title":"The power of transnational private governance: financialization and the IASB","title-short":"The power of transnational private governance","volume":"9","author":[{"family":"Nölke","given":"Andreas"},{"family":"Perry","given":"James"}],"issued":{"date-parts":[["2007"]]}}},{"id":3856,"uris":["http://zotero.org/users/local/oXQBh7r1/items/I7ESUT4B"],"uri":["http://zotero.org/users/local/oXQBh7r1/items/I7ESUT4B"],"itemData":{"id":3856,"type":"article-journal","container-title":"Journal of Global Security Studies","title":"Hegemony, Inequality, and the Quest for Primacy","author":[{"family":"Kalyanpur","given":"Nikhil"}],"issued":{"date-parts":[["2018"]]}}}],"schema":"https://github.com/citation-style-language/schema/raw/master/csl-citation.json"} </w:instrText>
      </w:r>
      <w:r w:rsidR="00CF70D8" w:rsidRPr="003A37FF">
        <w:fldChar w:fldCharType="separate"/>
      </w:r>
      <w:r w:rsidR="00E80061" w:rsidRPr="003A37FF">
        <w:t>(Nölke and Perry 2007; Kalyanpur 2018)</w:t>
      </w:r>
      <w:r w:rsidR="00CF70D8" w:rsidRPr="003A37FF">
        <w:fldChar w:fldCharType="end"/>
      </w:r>
      <w:r w:rsidR="00C25CBA" w:rsidRPr="003A37FF">
        <w:t xml:space="preserve">. </w:t>
      </w:r>
      <w:r w:rsidR="0075367D" w:rsidRPr="003A37FF">
        <w:t>Considerable work on neo-liberalism has noted the ways in which financialization has transformed domestic and international governance in relative isolation from each other. The</w:t>
      </w:r>
      <w:r w:rsidR="00832F28" w:rsidRPr="003A37FF">
        <w:t xml:space="preserve"> article</w:t>
      </w:r>
      <w:r w:rsidR="0075367D" w:rsidRPr="003A37FF">
        <w:t xml:space="preserve"> suggests how innovations at the domestic level – </w:t>
      </w:r>
      <w:r w:rsidR="00FB0A44" w:rsidRPr="003A37FF">
        <w:t>third-party</w:t>
      </w:r>
      <w:r w:rsidR="0075367D" w:rsidRPr="003A37FF">
        <w:t xml:space="preserve"> finance – shape international governance –</w:t>
      </w:r>
      <w:r w:rsidR="00371CF9" w:rsidRPr="003A37FF">
        <w:t xml:space="preserve"> </w:t>
      </w:r>
      <w:r w:rsidR="000A32E4" w:rsidRPr="003A37FF">
        <w:t xml:space="preserve">the </w:t>
      </w:r>
      <w:r w:rsidR="00371CF9" w:rsidRPr="003A37FF">
        <w:t>investment regime</w:t>
      </w:r>
      <w:r w:rsidR="0075367D" w:rsidRPr="003A37FF">
        <w:t xml:space="preserve"> – </w:t>
      </w:r>
      <w:r w:rsidR="00371CF9" w:rsidRPr="003A37FF">
        <w:t>with potential spillovers for</w:t>
      </w:r>
      <w:r w:rsidR="0075367D" w:rsidRPr="003A37FF">
        <w:t xml:space="preserve"> domestic political debates over international investment</w:t>
      </w:r>
      <w:r w:rsidR="00BE72CD" w:rsidRPr="003A37FF">
        <w:t xml:space="preserve"> </w:t>
      </w:r>
      <w:r w:rsidR="00BE72CD" w:rsidRPr="003A37FF">
        <w:fldChar w:fldCharType="begin"/>
      </w:r>
      <w:r w:rsidR="00BE72CD" w:rsidRPr="003A37FF">
        <w:instrText xml:space="preserve"> ADDIN ZOTERO_ITEM CSL_CITATION {"citationID":"a2odgh6811b","properties":{"formattedCitation":"(Farrell and Newman 2014)","plainCitation":"(Farrell and Newman 2014)","noteIndex":0},"citationItems":[{"id":232,"uris":["http://zotero.org/users/local/oXQBh7r1/items/ZCFBSQMZ"],"uri":["http://zotero.org/users/local/oXQBh7r1/items/ZCFBSQMZ"],"itemData":{"id":232,"type":"article-journal","container-title":"World Politics","issue":"02","page":"331–363","source":"Google Scholar","title":"Domestic institutions beyond the nation-state: Charting the new interdependence approach","title-short":"Domestic institutions beyond the nation-state","volume":"66","author":[{"family":"Farrell","given":"Henry"},{"family":"Newman","given":"Abraham L."}],"issued":{"date-parts":[["2014"]]}}}],"schema":"https://github.com/citation-style-language/schema/raw/master/csl-citation.json"} </w:instrText>
      </w:r>
      <w:r w:rsidR="00BE72CD" w:rsidRPr="003A37FF">
        <w:fldChar w:fldCharType="separate"/>
      </w:r>
      <w:r w:rsidR="00BE72CD" w:rsidRPr="003A37FF">
        <w:t>(Farrell and Newman 2014)</w:t>
      </w:r>
      <w:r w:rsidR="00BE72CD" w:rsidRPr="003A37FF">
        <w:fldChar w:fldCharType="end"/>
      </w:r>
      <w:r w:rsidR="00BE72CD" w:rsidRPr="003A37FF">
        <w:t xml:space="preserve">. </w:t>
      </w:r>
      <w:r w:rsidR="00C25CBA" w:rsidRPr="003A37FF">
        <w:t>Second</w:t>
      </w:r>
      <w:r w:rsidR="009B3F2C" w:rsidRPr="003A37FF">
        <w:t xml:space="preserve">, </w:t>
      </w:r>
      <w:r w:rsidR="00A42BF1" w:rsidRPr="003A37FF">
        <w:t>we bridge literature on regime c</w:t>
      </w:r>
      <w:r w:rsidR="004152E0" w:rsidRPr="003A37FF">
        <w:t>han</w:t>
      </w:r>
      <w:r w:rsidR="009B3F2C" w:rsidRPr="003A37FF">
        <w:t>g</w:t>
      </w:r>
      <w:r w:rsidR="004152E0" w:rsidRPr="003A37FF">
        <w:t>e</w:t>
      </w:r>
      <w:r w:rsidR="00A42BF1" w:rsidRPr="003A37FF">
        <w:t xml:space="preserve"> and the socio</w:t>
      </w:r>
      <w:r w:rsidR="00441705" w:rsidRPr="003A37FF">
        <w:t>logy</w:t>
      </w:r>
      <w:r w:rsidR="009B3F2C" w:rsidRPr="003A37FF">
        <w:t xml:space="preserve"> of fields</w:t>
      </w:r>
      <w:r w:rsidR="00A42BF1" w:rsidRPr="003A37FF">
        <w:t xml:space="preserve">, </w:t>
      </w:r>
      <w:r w:rsidR="009B3F2C" w:rsidRPr="003A37FF">
        <w:t>elevating the role that social relations</w:t>
      </w:r>
      <w:r w:rsidR="00FB1D28" w:rsidRPr="003A37FF">
        <w:t xml:space="preserve"> </w:t>
      </w:r>
      <w:r w:rsidR="00A42BF1" w:rsidRPr="003A37FF">
        <w:t xml:space="preserve">can </w:t>
      </w:r>
      <w:r w:rsidR="009B3F2C" w:rsidRPr="003A37FF">
        <w:t xml:space="preserve">play in </w:t>
      </w:r>
      <w:r w:rsidR="00A42BF1" w:rsidRPr="003A37FF">
        <w:t>reinterpret</w:t>
      </w:r>
      <w:r w:rsidR="009B3F2C" w:rsidRPr="003A37FF">
        <w:t>ing</w:t>
      </w:r>
      <w:r w:rsidR="00A42BF1" w:rsidRPr="003A37FF">
        <w:t xml:space="preserve"> institutional purpose and thereby fundamentally alter the functioning of an international regime. </w:t>
      </w:r>
      <w:r w:rsidR="00E83F84" w:rsidRPr="003A37FF">
        <w:t xml:space="preserve">Important work in comparative </w:t>
      </w:r>
      <w:r w:rsidR="00E83F84" w:rsidRPr="003A37FF">
        <w:lastRenderedPageBreak/>
        <w:t>and international political economy focuses on the internal politics of professions</w:t>
      </w:r>
      <w:r w:rsidR="00E248FC" w:rsidRPr="003A37FF">
        <w:t xml:space="preserve"> </w:t>
      </w:r>
      <w:r w:rsidR="00E83F84" w:rsidRPr="003A37FF">
        <w:t xml:space="preserve">– here we highlight how politics, and coalition formation, can </w:t>
      </w:r>
      <w:r w:rsidR="00B76F3C" w:rsidRPr="003A37FF">
        <w:t xml:space="preserve">span </w:t>
      </w:r>
      <w:r w:rsidR="00E83F84" w:rsidRPr="003A37FF">
        <w:t xml:space="preserve">ontologically distinct professions. </w:t>
      </w:r>
      <w:r w:rsidR="00A42BF1" w:rsidRPr="003A37FF">
        <w:t xml:space="preserve">In this vein, we </w:t>
      </w:r>
      <w:r w:rsidR="00070953" w:rsidRPr="003A37FF">
        <w:t xml:space="preserve">push field theory to look beyond internal dynamics, and </w:t>
      </w:r>
      <w:r w:rsidR="00A42BF1" w:rsidRPr="003A37FF">
        <w:t>underscore</w:t>
      </w:r>
      <w:r w:rsidR="009B3F2C" w:rsidRPr="003A37FF">
        <w:t xml:space="preserve"> th</w:t>
      </w:r>
      <w:r w:rsidR="00070953" w:rsidRPr="003A37FF">
        <w:t>e important role that field interdependence can play as a vector of change.</w:t>
      </w:r>
      <w:r w:rsidR="005928BF" w:rsidRPr="003A37FF">
        <w:t xml:space="preserve"> </w:t>
      </w:r>
    </w:p>
    <w:p w14:paraId="7BC8FADB" w14:textId="77777777" w:rsidR="00F23E75" w:rsidRPr="003A37FF" w:rsidRDefault="00F23E75" w:rsidP="00C82FEC">
      <w:pPr>
        <w:spacing w:line="480" w:lineRule="auto"/>
      </w:pPr>
    </w:p>
    <w:p w14:paraId="6355E80E" w14:textId="4EE85C62" w:rsidR="00296EE9" w:rsidRPr="003A37FF" w:rsidRDefault="00D62F29" w:rsidP="00C82FEC">
      <w:pPr>
        <w:pStyle w:val="ListParagraph"/>
        <w:numPr>
          <w:ilvl w:val="0"/>
          <w:numId w:val="1"/>
        </w:numPr>
        <w:spacing w:line="480" w:lineRule="auto"/>
        <w:rPr>
          <w:rFonts w:ascii="Times New Roman" w:hAnsi="Times New Roman" w:cs="Times New Roman"/>
          <w:b/>
        </w:rPr>
      </w:pPr>
      <w:r w:rsidRPr="003A37FF">
        <w:rPr>
          <w:rFonts w:ascii="Times New Roman" w:hAnsi="Times New Roman" w:cs="Times New Roman"/>
          <w:b/>
        </w:rPr>
        <w:t>The</w:t>
      </w:r>
      <w:r w:rsidR="00FA566C" w:rsidRPr="003A37FF">
        <w:rPr>
          <w:rFonts w:ascii="Times New Roman" w:hAnsi="Times New Roman" w:cs="Times New Roman"/>
          <w:b/>
        </w:rPr>
        <w:t xml:space="preserve"> </w:t>
      </w:r>
      <w:r w:rsidR="00AB440B" w:rsidRPr="003A37FF">
        <w:rPr>
          <w:rFonts w:ascii="Times New Roman" w:hAnsi="Times New Roman" w:cs="Times New Roman"/>
          <w:b/>
        </w:rPr>
        <w:t>Investment Regim</w:t>
      </w:r>
      <w:r w:rsidR="00FA566C" w:rsidRPr="003A37FF">
        <w:rPr>
          <w:rFonts w:ascii="Times New Roman" w:hAnsi="Times New Roman" w:cs="Times New Roman"/>
          <w:b/>
        </w:rPr>
        <w:t xml:space="preserve">e </w:t>
      </w:r>
      <w:r w:rsidRPr="003A37FF">
        <w:rPr>
          <w:rFonts w:ascii="Times New Roman" w:hAnsi="Times New Roman" w:cs="Times New Roman"/>
          <w:b/>
        </w:rPr>
        <w:t xml:space="preserve">in Motion – </w:t>
      </w:r>
      <w:r w:rsidR="000A32E4" w:rsidRPr="003A37FF">
        <w:rPr>
          <w:rFonts w:ascii="Times New Roman" w:hAnsi="Times New Roman" w:cs="Times New Roman"/>
          <w:b/>
        </w:rPr>
        <w:t>Frivolous</w:t>
      </w:r>
      <w:r w:rsidRPr="003A37FF">
        <w:rPr>
          <w:rFonts w:ascii="Times New Roman" w:hAnsi="Times New Roman" w:cs="Times New Roman"/>
          <w:b/>
        </w:rPr>
        <w:t xml:space="preserve"> lawsuits and </w:t>
      </w:r>
      <w:r w:rsidR="00FB0A44" w:rsidRPr="003A37FF">
        <w:rPr>
          <w:rFonts w:ascii="Times New Roman" w:hAnsi="Times New Roman" w:cs="Times New Roman"/>
          <w:b/>
        </w:rPr>
        <w:t>Third-party</w:t>
      </w:r>
      <w:r w:rsidRPr="003A37FF">
        <w:rPr>
          <w:rFonts w:ascii="Times New Roman" w:hAnsi="Times New Roman" w:cs="Times New Roman"/>
          <w:b/>
        </w:rPr>
        <w:t xml:space="preserve"> Finance</w:t>
      </w:r>
    </w:p>
    <w:p w14:paraId="6D001D2B" w14:textId="4B708342" w:rsidR="00A46DAD" w:rsidRPr="003A37FF" w:rsidRDefault="00E81B55" w:rsidP="00864568">
      <w:pPr>
        <w:spacing w:line="480" w:lineRule="auto"/>
        <w:ind w:firstLine="720"/>
      </w:pPr>
      <w:r w:rsidRPr="003A37FF">
        <w:t xml:space="preserve">Rather than operating through a single focal institution, the </w:t>
      </w:r>
      <w:r w:rsidR="003475B5" w:rsidRPr="003A37FF">
        <w:t>International Investment</w:t>
      </w:r>
      <w:r w:rsidRPr="003A37FF">
        <w:t xml:space="preserve"> regime </w:t>
      </w:r>
      <w:r w:rsidR="005A04A9" w:rsidRPr="003A37FF">
        <w:t>is a</w:t>
      </w:r>
      <w:r w:rsidR="004966DD" w:rsidRPr="003A37FF">
        <w:t xml:space="preserve">n assortment </w:t>
      </w:r>
      <w:r w:rsidR="005A04A9" w:rsidRPr="003A37FF">
        <w:t>of acronyms.</w:t>
      </w:r>
      <w:r w:rsidR="003475B5" w:rsidRPr="003A37FF">
        <w:t xml:space="preserve"> </w:t>
      </w:r>
      <w:r w:rsidR="005A04A9" w:rsidRPr="003A37FF">
        <w:t xml:space="preserve">Starting in the 1960s, states began signing </w:t>
      </w:r>
      <w:r w:rsidR="003475B5" w:rsidRPr="003A37FF">
        <w:t>Bilateral Investment Treaties (BITs)</w:t>
      </w:r>
      <w:r w:rsidR="005A04A9" w:rsidRPr="003A37FF">
        <w:t>, which set out to protect foreign investments from</w:t>
      </w:r>
      <w:r w:rsidR="000A32E4" w:rsidRPr="003A37FF">
        <w:t xml:space="preserve"> state predation. By providing foreign firms the option to initiate arbitration claims against their host government, at neutral venues set up by organization like the World Bank,</w:t>
      </w:r>
      <w:r w:rsidR="005A04A9" w:rsidRPr="003A37FF">
        <w:t xml:space="preserve"> </w:t>
      </w:r>
      <w:r w:rsidR="00E80061" w:rsidRPr="003A37FF">
        <w:t>firms could be confident their investments would be secure</w:t>
      </w:r>
      <w:r w:rsidR="003475B5" w:rsidRPr="003A37FF">
        <w:t xml:space="preserve">. </w:t>
      </w:r>
      <w:r w:rsidR="005921C8" w:rsidRPr="003A37FF">
        <w:t>The</w:t>
      </w:r>
      <w:r w:rsidR="00FD21BF" w:rsidRPr="003A37FF">
        <w:t xml:space="preserve"> primary</w:t>
      </w:r>
      <w:r w:rsidR="005921C8" w:rsidRPr="003A37FF">
        <w:t xml:space="preserve"> goal was to promote real investments in manufacturing and producti</w:t>
      </w:r>
      <w:r w:rsidR="0015111B" w:rsidRPr="003A37FF">
        <w:t>on</w:t>
      </w:r>
      <w:r w:rsidR="005921C8" w:rsidRPr="003A37FF">
        <w:t xml:space="preserve"> capacity, in sectors with substantial fixed costs, rather than to catalyze growth in foreign financing. </w:t>
      </w:r>
      <w:r w:rsidR="005A04A9" w:rsidRPr="003A37FF">
        <w:t>These t</w:t>
      </w:r>
      <w:r w:rsidR="00785C93" w:rsidRPr="003A37FF">
        <w:t>reaties took on a</w:t>
      </w:r>
      <w:r w:rsidR="003475B5" w:rsidRPr="003A37FF">
        <w:t xml:space="preserve"> new </w:t>
      </w:r>
      <w:r w:rsidR="00CC363F" w:rsidRPr="003A37FF">
        <w:t xml:space="preserve">level of </w:t>
      </w:r>
      <w:r w:rsidR="003475B5" w:rsidRPr="003A37FF">
        <w:t xml:space="preserve">popularity </w:t>
      </w:r>
      <w:r w:rsidR="00CC363F" w:rsidRPr="003A37FF">
        <w:t>once</w:t>
      </w:r>
      <w:r w:rsidR="003475B5" w:rsidRPr="003A37FF">
        <w:t xml:space="preserve"> states began to liberalize their capital</w:t>
      </w:r>
      <w:r w:rsidR="009B1619" w:rsidRPr="003A37FF">
        <w:t xml:space="preserve"> account</w:t>
      </w:r>
      <w:r w:rsidR="00CC363F" w:rsidRPr="003A37FF">
        <w:t>s</w:t>
      </w:r>
      <w:r w:rsidR="003475B5" w:rsidRPr="003A37FF">
        <w:t xml:space="preserve"> and s</w:t>
      </w:r>
      <w:r w:rsidR="00D441E0" w:rsidRPr="003A37FF">
        <w:t>ought</w:t>
      </w:r>
      <w:r w:rsidR="003475B5" w:rsidRPr="003A37FF">
        <w:t xml:space="preserve"> new avenues for development. </w:t>
      </w:r>
      <w:r w:rsidR="00D441E0" w:rsidRPr="003A37FF">
        <w:t xml:space="preserve">Globally, the </w:t>
      </w:r>
      <w:r w:rsidR="00FB1D28" w:rsidRPr="003A37FF">
        <w:t>regime is constituted by</w:t>
      </w:r>
      <w:r w:rsidR="003475B5" w:rsidRPr="003A37FF">
        <w:t xml:space="preserve"> over 3,000 BITs</w:t>
      </w:r>
      <w:r w:rsidR="00BD1DB9" w:rsidRPr="003A37FF">
        <w:t xml:space="preserve"> (Figure 1)</w:t>
      </w:r>
      <w:r w:rsidR="00FD7AD4" w:rsidRPr="003A37FF">
        <w:t>,</w:t>
      </w:r>
      <w:r w:rsidR="003475B5" w:rsidRPr="003A37FF">
        <w:t xml:space="preserve"> </w:t>
      </w:r>
      <w:r w:rsidR="009B1619" w:rsidRPr="003A37FF">
        <w:t>formalizing</w:t>
      </w:r>
      <w:r w:rsidR="003475B5" w:rsidRPr="003A37FF">
        <w:t xml:space="preserve"> the notorious Investor-State Dispute Settlement</w:t>
      </w:r>
      <w:r w:rsidR="009B6533" w:rsidRPr="003A37FF">
        <w:t xml:space="preserve"> (ISDS)</w:t>
      </w:r>
      <w:r w:rsidR="003475B5" w:rsidRPr="003A37FF">
        <w:t xml:space="preserve"> mechanism</w:t>
      </w:r>
      <w:r w:rsidR="00FD7AD4" w:rsidRPr="003A37FF">
        <w:t>,</w:t>
      </w:r>
      <w:r w:rsidR="00CC363F" w:rsidRPr="003A37FF">
        <w:t xml:space="preserve"> </w:t>
      </w:r>
      <w:r w:rsidR="00FD7AD4" w:rsidRPr="003A37FF">
        <w:t>which</w:t>
      </w:r>
      <w:r w:rsidR="00CC363F" w:rsidRPr="003A37FF">
        <w:t xml:space="preserve"> </w:t>
      </w:r>
      <w:r w:rsidR="001E792F" w:rsidRPr="003A37FF">
        <w:t>encompasses</w:t>
      </w:r>
      <w:r w:rsidR="009B1619" w:rsidRPr="003A37FF">
        <w:t xml:space="preserve"> the body of</w:t>
      </w:r>
      <w:r w:rsidR="00CC363F" w:rsidRPr="003A37FF">
        <w:t xml:space="preserve"> law</w:t>
      </w:r>
      <w:r w:rsidR="003475B5" w:rsidRPr="003A37FF">
        <w:t xml:space="preserve"> governing foreign direct investment.</w:t>
      </w:r>
      <w:r w:rsidR="00A46DAD" w:rsidRPr="003A37FF">
        <w:rPr>
          <w:rStyle w:val="EndnoteReference"/>
        </w:rPr>
        <w:endnoteReference w:id="1"/>
      </w:r>
      <w:r w:rsidR="00A46DAD" w:rsidRPr="003A37FF">
        <w:t xml:space="preserve"> Despite the fact that </w:t>
      </w:r>
      <w:r w:rsidR="00A46DAD">
        <w:t xml:space="preserve">the </w:t>
      </w:r>
      <w:r w:rsidR="00A46DAD" w:rsidRPr="003A37FF">
        <w:t xml:space="preserve">economic value of BITs/ISDS is still contentiously debated, ISDS has made its way into a host of bilateral and multilateral trade treaties, most famously in the now defunct Trans-Pacific Partnership. While the regime sought to promote economic development by mitigating expropriation, ISDS cases now frequently target </w:t>
      </w:r>
      <w:r w:rsidR="00A46DAD">
        <w:t>government</w:t>
      </w:r>
      <w:r w:rsidR="00A46DAD" w:rsidRPr="003A37FF">
        <w:t xml:space="preserve"> regulations, with third-party funders providing the financial means to change the logic of the regime. </w:t>
      </w:r>
    </w:p>
    <w:p w14:paraId="224E536B" w14:textId="775000C1" w:rsidR="00A46DAD" w:rsidRPr="003A37FF" w:rsidRDefault="00A46DAD" w:rsidP="008C2312">
      <w:pPr>
        <w:spacing w:line="480" w:lineRule="auto"/>
        <w:ind w:firstLine="720"/>
      </w:pPr>
      <w:r w:rsidRPr="003A37FF">
        <w:rPr>
          <w:noProof/>
        </w:rPr>
        <w:lastRenderedPageBreak/>
        <w:drawing>
          <wp:inline distT="0" distB="0" distL="0" distR="0" wp14:anchorId="5339F3F5" wp14:editId="05498023">
            <wp:extent cx="4781550" cy="4781550"/>
            <wp:effectExtent l="0" t="0" r="6350" b="635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81550" cy="4781550"/>
                    </a:xfrm>
                    <a:prstGeom prst="rect">
                      <a:avLst/>
                    </a:prstGeom>
                  </pic:spPr>
                </pic:pic>
              </a:graphicData>
            </a:graphic>
          </wp:inline>
        </w:drawing>
      </w:r>
    </w:p>
    <w:p w14:paraId="124504AF" w14:textId="77777777" w:rsidR="00A46DAD" w:rsidRPr="003A37FF" w:rsidRDefault="00A46DAD" w:rsidP="00864568">
      <w:pPr>
        <w:spacing w:line="480" w:lineRule="auto"/>
        <w:ind w:firstLine="720"/>
      </w:pPr>
    </w:p>
    <w:p w14:paraId="31527DE9" w14:textId="4241D8E3" w:rsidR="00A46DAD" w:rsidRPr="003A37FF" w:rsidRDefault="00A46DAD" w:rsidP="00877A14">
      <w:pPr>
        <w:spacing w:line="480" w:lineRule="auto"/>
        <w:rPr>
          <w:i/>
          <w:iCs/>
        </w:rPr>
      </w:pPr>
      <w:r w:rsidRPr="003A37FF">
        <w:rPr>
          <w:i/>
          <w:iCs/>
        </w:rPr>
        <w:t>The Evolution of the Regime</w:t>
      </w:r>
    </w:p>
    <w:p w14:paraId="3B4C1ADE" w14:textId="6DB1607A" w:rsidR="00A46DAD" w:rsidRPr="003A37FF" w:rsidRDefault="00A46DAD" w:rsidP="00B21E52">
      <w:pPr>
        <w:spacing w:line="480" w:lineRule="auto"/>
        <w:ind w:firstLine="720"/>
      </w:pPr>
      <w:r w:rsidRPr="003A37FF">
        <w:t xml:space="preserve">This exponential growth of the investment regime has now come to haunt governments as they are subject to claims that they did not imagine could fall under these treaties. While there were only a handful of cases a year in the 1990s, over 1300 have now been filed (PITAD). The majority of these cases are not about direct expropriation – as BITs were nominally designed to guard against – but instead challenge government regulations that usually seek to improve social welfare </w:t>
      </w:r>
      <w:r w:rsidRPr="003A37FF">
        <w:fldChar w:fldCharType="begin"/>
      </w:r>
      <w:r w:rsidRPr="003A37FF">
        <w:instrText xml:space="preserve"> ADDIN ZOTERO_ITEM CSL_CITATION {"citationID":"a1uenknve5e","properties":{"formattedCitation":"(Pelc 2017)","plainCitation":"(Pelc 2017)","noteIndex":0},"citationItems":[{"id":4119,"uris":["http://zotero.org/users/local/oXQBh7r1/items/3RV56KRV"],"uri":["http://zotero.org/users/local/oXQBh7r1/items/3RV56KRV"],"itemData":{"id":4119,"type":"article-journal","container-title":"International Organization","issue":"3","page":"559–583","source":"Google Scholar","title":"What Explains the Low Success Rate of Investor-State Disputes?","volume":"71","author":[{"family":"Pelc","given":"Krzysztof J."}],"issued":{"date-parts":[["2017"]]}}}],"schema":"https://github.com/citation-style-language/schema/raw/master/csl-citation.json"} </w:instrText>
      </w:r>
      <w:r w:rsidRPr="003A37FF">
        <w:fldChar w:fldCharType="separate"/>
      </w:r>
      <w:r w:rsidRPr="003A37FF">
        <w:t>(Pelc 2017)</w:t>
      </w:r>
      <w:r w:rsidRPr="003A37FF">
        <w:fldChar w:fldCharType="end"/>
      </w:r>
      <w:r w:rsidRPr="003A37FF">
        <w:t xml:space="preserve">. BITs regularly contain clauses that bind governments to maintain the investment climate, which have been interpreted broadly by arbitration panels to include the </w:t>
      </w:r>
      <w:r w:rsidRPr="003A37FF">
        <w:lastRenderedPageBreak/>
        <w:t>regulatory environment.</w:t>
      </w:r>
      <w:r w:rsidRPr="003A37FF">
        <w:rPr>
          <w:rStyle w:val="EndnoteReference"/>
        </w:rPr>
        <w:endnoteReference w:id="2"/>
      </w:r>
      <w:r w:rsidRPr="003A37FF">
        <w:t xml:space="preserve"> Swedish multinational Vattenfall infamously brought several claims against Germany when the country decided to phase out nuclear energy as part of its climate change mitigation plans.  Argentina has come under an onslaught of ISDS cases related to the policy measures the country was forced to take as it battled a financial crisis. Even if these cases eventually fail, they have the potential to “chill” regulation that is being considered by other governments as the latter </w:t>
      </w:r>
      <w:r>
        <w:t>may fear that</w:t>
      </w:r>
      <w:r w:rsidRPr="003A37FF">
        <w:t xml:space="preserve"> new rules </w:t>
      </w:r>
      <w:r>
        <w:t xml:space="preserve">will </w:t>
      </w:r>
      <w:r w:rsidRPr="003A37FF">
        <w:t xml:space="preserve">be challenged.  </w:t>
      </w:r>
    </w:p>
    <w:p w14:paraId="0FD21074" w14:textId="39060953" w:rsidR="00A46DAD" w:rsidRPr="003A37FF" w:rsidRDefault="00A46DAD" w:rsidP="00B21E52">
      <w:pPr>
        <w:spacing w:line="480" w:lineRule="auto"/>
        <w:ind w:firstLine="720"/>
      </w:pPr>
      <w:r w:rsidRPr="003A37FF">
        <w:rPr>
          <w:noProof/>
        </w:rPr>
        <w:drawing>
          <wp:inline distT="0" distB="0" distL="0" distR="0" wp14:anchorId="37A07A9D" wp14:editId="5D4F6324">
            <wp:extent cx="4533900" cy="4533900"/>
            <wp:effectExtent l="0" t="0" r="0" b="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33900" cy="4533900"/>
                    </a:xfrm>
                    <a:prstGeom prst="rect">
                      <a:avLst/>
                    </a:prstGeom>
                  </pic:spPr>
                </pic:pic>
              </a:graphicData>
            </a:graphic>
          </wp:inline>
        </w:drawing>
      </w:r>
    </w:p>
    <w:p w14:paraId="6DA5AF21" w14:textId="533B006E" w:rsidR="00A46DAD" w:rsidRPr="003A37FF" w:rsidRDefault="00A46DAD" w:rsidP="00B21E52">
      <w:pPr>
        <w:spacing w:line="480" w:lineRule="auto"/>
        <w:ind w:firstLine="720"/>
      </w:pPr>
      <w:r w:rsidRPr="003A37FF">
        <w:t xml:space="preserve">As the number of disputes steadily rose in the 2000s, the largest gains came in the indirect expropriation/regulatory vein (Figure 2). These “frivolous” suits are more likely to be brought against democratic governments with low levels of development, the claimants appear less willing to settle and are armed and ready to publicize the dispute to further harm host states </w:t>
      </w:r>
      <w:r w:rsidRPr="003A37FF">
        <w:lastRenderedPageBreak/>
        <w:fldChar w:fldCharType="begin"/>
      </w:r>
      <w:r w:rsidRPr="003A37FF">
        <w:instrText xml:space="preserve"> ADDIN ZOTERO_ITEM CSL_CITATION {"citationID":"IJOrK4v2","properties":{"formattedCitation":"(Pelc 2017)","plainCitation":"(Pelc 2017)","noteIndex":0},"citationItems":[{"id":4119,"uris":["http://zotero.org/users/local/oXQBh7r1/items/3RV56KRV"],"uri":["http://zotero.org/users/local/oXQBh7r1/items/3RV56KRV"],"itemData":{"id":4119,"type":"article-journal","container-title":"International Organization","issue":"3","page":"559–583","source":"Google Scholar","title":"What Explains the Low Success Rate of Investor-State Disputes?","volume":"71","author":[{"family":"Pelc","given":"Krzysztof J."}],"issued":{"date-parts":[["2017"]]}}}],"schema":"https://github.com/citation-style-language/schema/raw/master/csl-citation.json"} </w:instrText>
      </w:r>
      <w:r w:rsidRPr="003A37FF">
        <w:fldChar w:fldCharType="separate"/>
      </w:r>
      <w:r w:rsidRPr="003A37FF">
        <w:rPr>
          <w:noProof/>
        </w:rPr>
        <w:t>(Pelc 2017)</w:t>
      </w:r>
      <w:r w:rsidRPr="003A37FF">
        <w:fldChar w:fldCharType="end"/>
      </w:r>
      <w:r w:rsidRPr="003A37FF">
        <w:t xml:space="preserve">. At the same time, Wellhausen </w:t>
      </w:r>
      <w:r w:rsidRPr="003A37FF">
        <w:fldChar w:fldCharType="begin"/>
      </w:r>
      <w:r w:rsidRPr="003A37FF">
        <w:instrText xml:space="preserve"> ADDIN ZOTERO_ITEM CSL_CITATION {"citationID":"mTGzXby1","properties":{"formattedCitation":"(2019)","plainCitation":"(2019)","noteIndex":0},"citationItems":[{"id":5168,"uris":["http://zotero.org/users/local/oXQBh7r1/items/VGE5MANT"],"uri":["http://zotero.org/users/local/oXQBh7r1/items/VGE5MANT"],"itemData":{"id":5168,"type":"article-journal","container-title":"International Organization","issue":"4","page":"839–858","source":"Google Scholar","title":"International investment law and foreign direct reinvestment","volume":"73","author":[{"family":"Wellhausen","given":"Rachel L."}],"issued":{"date-parts":[["2019"]]}},"suppress-author":true}],"schema":"https://github.com/citation-style-language/schema/raw/master/csl-citation.json"} </w:instrText>
      </w:r>
      <w:r w:rsidRPr="003A37FF">
        <w:fldChar w:fldCharType="separate"/>
      </w:r>
      <w:r w:rsidRPr="003A37FF">
        <w:rPr>
          <w:noProof/>
        </w:rPr>
        <w:t>(2019)</w:t>
      </w:r>
      <w:r w:rsidRPr="003A37FF">
        <w:fldChar w:fldCharType="end"/>
      </w:r>
      <w:r w:rsidRPr="003A37FF">
        <w:t xml:space="preserve"> finds that most investors are willing to re-invest in a state once they’ve resolved a claim, strongly countering the notion that the violations were real deal breakers for the company. </w:t>
      </w:r>
    </w:p>
    <w:p w14:paraId="57D397C1" w14:textId="77777777" w:rsidR="00A46DAD" w:rsidRPr="003A37FF" w:rsidRDefault="00A46DAD" w:rsidP="00B21E52">
      <w:pPr>
        <w:spacing w:line="480" w:lineRule="auto"/>
        <w:ind w:firstLine="720"/>
      </w:pPr>
    </w:p>
    <w:p w14:paraId="44C3505A" w14:textId="5FB004E2" w:rsidR="00A46DAD" w:rsidRPr="003A37FF" w:rsidRDefault="00A46DAD" w:rsidP="00877A14">
      <w:pPr>
        <w:spacing w:line="480" w:lineRule="auto"/>
        <w:rPr>
          <w:i/>
          <w:iCs/>
        </w:rPr>
      </w:pPr>
      <w:r w:rsidRPr="003A37FF">
        <w:rPr>
          <w:i/>
          <w:iCs/>
        </w:rPr>
        <w:t>New Actors and New Distributional Politics</w:t>
      </w:r>
    </w:p>
    <w:p w14:paraId="1CB3F357" w14:textId="3700F3F1" w:rsidR="00A46DAD" w:rsidRPr="003A37FF" w:rsidRDefault="00A46DAD" w:rsidP="00FA566C">
      <w:pPr>
        <w:spacing w:line="480" w:lineRule="auto"/>
        <w:ind w:firstLine="720"/>
      </w:pPr>
      <w:r w:rsidRPr="003A37FF">
        <w:t xml:space="preserve">While the recent IPE research sheds important light on new types of cases and their consequences, it primarily focuses on the interactions between industrial firms and host governments. But the last decade has seen a new type of actor – third party finance (TPF) – enter the international investment regime. TPF is generally made up of a range of financial entities who “invest in litigation by providing finance in return for a stake in a legal claim” </w:t>
      </w:r>
      <w:r w:rsidRPr="003A37FF">
        <w:fldChar w:fldCharType="begin"/>
      </w:r>
      <w:r w:rsidRPr="003A37FF">
        <w:instrText xml:space="preserve"> ADDIN ZOTERO_ITEM CSL_CITATION {"citationID":"8PahVd7T","properties":{"formattedCitation":"(Garcia et al. 2018)","plainCitation":"(Garcia et al. 2018)","noteIndex":0},"citationItems":[{"id":4154,"uris":["http://zotero.org/users/local/oXQBh7r1/items/U2UBQUP3"],"uri":["http://zotero.org/users/local/oXQBh7r1/items/U2UBQUP3"],"itemData":{"id":4154,"type":"article-journal","container-title":"Boston College Law School–PUC University of Chile, Working Group on Trade &amp; Investment Law Reform, Third-Party Funding Task Force","source":"Google Scholar","title":"The Case Against Third-Party Funding in ISDS: Executive Summary","title-short":"The Case Against Third-Party Funding in ISDS","author":[{"family":"Garcia","given":"Frank J."},{"family":"Gargne","given":"Leo"},{"family":"Cho","given":"Hyun Ju"},{"family":"Santosuosso","given":"Tara"},{"family":"Scarlett","given":"Randall"},{"family":"Thrasher","given":"Rachel Denae"}],"issued":{"date-parts":[["2018"]]}}}],"schema":"https://github.com/citation-style-language/schema/raw/master/csl-citation.json"} </w:instrText>
      </w:r>
      <w:r w:rsidRPr="003A37FF">
        <w:fldChar w:fldCharType="separate"/>
      </w:r>
      <w:r w:rsidRPr="003A37FF">
        <w:rPr>
          <w:noProof/>
        </w:rPr>
        <w:t>(Garcia et al. 2018)</w:t>
      </w:r>
      <w:r w:rsidRPr="003A37FF">
        <w:fldChar w:fldCharType="end"/>
      </w:r>
      <w:r w:rsidRPr="003A37FF">
        <w:t xml:space="preserve">. Some of the major players include publicly traded Burford Capital and privately held Calunius Capital, who trace their development to soon after the Great Recession, with their partners coming from the conventional financial and legal world. Third-party funders generally invest in commercial litigation and private arbitration, but the investment regime’s legal asymmetries, which stack rights in favor of claimants, makes ISDS a growing part of their portfolios. TPF activity has been facilitated by a number of countries loosening their financing restrictions, with Australia kicking off the trend, coupled with the lack of legal clarity in BITs on the potential role of third parties </w:t>
      </w:r>
      <w:r w:rsidRPr="003A37FF">
        <w:fldChar w:fldCharType="begin"/>
      </w:r>
      <w:r w:rsidRPr="003A37FF">
        <w:instrText xml:space="preserve"> ADDIN ZOTERO_ITEM CSL_CITATION {"citationID":"a2bumjp69m9","properties":{"formattedCitation":"(Garcia et al. 2018; Dafe and Williams 2020)","plainCitation":"(Garcia et al. 2018; Dafe and Williams 2020)","noteIndex":0},"citationItems":[{"id":4154,"uris":["http://zotero.org/users/local/oXQBh7r1/items/U2UBQUP3"],"uri":["http://zotero.org/users/local/oXQBh7r1/items/U2UBQUP3"],"itemData":{"id":4154,"type":"article-journal","container-title":"Boston College Law School–PUC University of Chile, Working Group on Trade &amp; Investment Law Reform, Third-Party Funding Task Force","source":"Google Scholar","title":"The Case Against Third-Party Funding in ISDS: Executive Summary","title-short":"The Case Against Third-Party Funding in ISDS","author":[{"family":"Garcia","given":"Frank J."},{"family":"Gargne","given":"Leo"},{"family":"Cho","given":"Hyun Ju"},{"family":"Santosuosso","given":"Tara"},{"family":"Scarlett","given":"Randall"},{"family":"Thrasher","given":"Rachel Denae"}],"issued":{"date-parts":[["2018"]]}}},{"id":6775,"uris":["http://zotero.org/users/local/oXQBh7r1/items/D73MTSRJ"],"uri":["http://zotero.org/users/local/oXQBh7r1/items/D73MTSRJ"],"itemData":{"id":6775,"type":"article-journal","abstract":"In this paper, we explore the drivers of the rise of third-party funding (TPF) in investor-state arbitration. TPF involves financiers shouldering the legal fees of an investment treaty claim against a sovereign state in exchange for a share of any eventual award. Existing research has highlighted how TPF may exacerbate the inequities inherent to a legal regime that is already weighted in favor of private interests by increasing investors’ access to funding of their legal claims, but the factors which gave rise to TPF are little understood. We argue that financialization helps to explain both the spread and the characteristics of TPF. In particular, the evidence presented in this paper suggests that the large supply of investable capital that is searching for profitable investment opportunities helps to account for the rise of TPF. The analysis provides the basis for broader propositions and a research agenda about the ways in which financialization alters the logics of an international legal regime and aligns the interests of different private agents, both of which may change the public-private balance in investor-state arbitration and affect its legitimacy.","container-title":"Review of International Political Economy","DOI":"10.1080/09692290.2020.1764378","ISSN":"0969-2290, 1466-4526","journalAbbreviation":"Review of International Political Economy","language":"en","page":"1-23","source":"DOI.org (Crossref)","title":"Banking on courts: financialization and the rise of third-party funding in investment arbitration","title-short":"Banking on courts","author":[{"family":"Dafe","given":"Florence"},{"family":"Williams","given":"Zoe"}],"issued":{"date-parts":[["2020",5,13]]}}}],"schema":"https://github.com/citation-style-language/schema/raw/master/csl-citation.json"} </w:instrText>
      </w:r>
      <w:r w:rsidRPr="003A37FF">
        <w:fldChar w:fldCharType="separate"/>
      </w:r>
      <w:r w:rsidRPr="003A37FF">
        <w:t>(Garcia et al. 2018; Dafe and Williams 2020)</w:t>
      </w:r>
      <w:r w:rsidRPr="003A37FF">
        <w:fldChar w:fldCharType="end"/>
      </w:r>
      <w:r w:rsidRPr="003A37FF">
        <w:t>.</w:t>
      </w:r>
      <w:r w:rsidRPr="003A37FF">
        <w:rPr>
          <w:rStyle w:val="EndnoteReference"/>
        </w:rPr>
        <w:t xml:space="preserve"> </w:t>
      </w:r>
      <w:r w:rsidRPr="003A37FF">
        <w:t>The process generally works as follows: third parties agree to front the legal costs of an ISDS claim in exchange for a 30-50% share of a settlement or an award. Alternatively, funders buy up claims or directly purchase equity in a company that could have a substantial legal claim and use their voting rights to push for the case to move forward.</w:t>
      </w:r>
      <w:r w:rsidRPr="003A37FF">
        <w:rPr>
          <w:rStyle w:val="EndnoteReference"/>
        </w:rPr>
        <w:t xml:space="preserve"> </w:t>
      </w:r>
    </w:p>
    <w:p w14:paraId="4D57EAB9" w14:textId="6E3ECEA1" w:rsidR="00A46DAD" w:rsidRPr="003A37FF" w:rsidRDefault="00A46DAD" w:rsidP="00B359B5">
      <w:pPr>
        <w:spacing w:line="480" w:lineRule="auto"/>
        <w:ind w:firstLine="720"/>
      </w:pPr>
      <w:r w:rsidRPr="003A37FF">
        <w:lastRenderedPageBreak/>
        <w:t xml:space="preserve">Given the opacity of the ISDS disclosure rules, and the preference for funders to stay anonymous as long as possible, it is difficult to assess exactly how prevalent a role they play in the international investment regime. But estimates make it clear that they have quickly become a structural feature in the investment regime. Some of the first journalists to bring serious attention to these new dynamics estimate that 3/5 of ISDS cases appear to have been funded by third parties </w:t>
      </w:r>
      <w:r w:rsidRPr="003A37FF">
        <w:fldChar w:fldCharType="begin"/>
      </w:r>
      <w:r w:rsidRPr="003A37FF">
        <w:instrText xml:space="preserve"> ADDIN ZOTERO_ITEM CSL_CITATION {"citationID":"ebHx407g","properties":{"formattedCitation":"(Corporate Europe Observatory 2012)","plainCitation":"(Corporate Europe Observatory 2012)","noteIndex":0},"citationItems":[{"id":4228,"uris":["http://zotero.org/users/local/oXQBh7r1/items/HG9IF7DR"],"uri":["http://zotero.org/users/local/oXQBh7r1/items/HG9IF7DR"],"itemData":{"id":4228,"type":"webpage","abstract":"The whole theory is to take the legal system and turn it into a stock market.John H. Beisner, Skadden, Arps, Slate, Meagher &amp; Flom[fn]Alden, William (2012) Looking to Make a Profit on Lawsuits, Firms Invest in Them, New York Times, 30 April. [/fn]","container-title":"Corporate Europe Observatory","language":"en","title":"Chapter 5: Speculating on injustice: Third-party funding of investment disputes","title-short":"Chapter 5","URL":"https://corporateeurope.org/trade/2012/11/chapter-5-speculating-injustice-third-party-funding-investment-disputes","author":[{"family":"Corporate Europe Observatory","given":""}],"accessed":{"date-parts":[["2018",8,9]]},"issued":{"date-parts":[["2012",11,27]]}}}],"schema":"https://github.com/citation-style-language/schema/raw/master/csl-citation.json"} </w:instrText>
      </w:r>
      <w:r w:rsidRPr="003A37FF">
        <w:fldChar w:fldCharType="separate"/>
      </w:r>
      <w:r w:rsidRPr="003A37FF">
        <w:t>(Corporate Europe Observatory 2012)</w:t>
      </w:r>
      <w:r w:rsidRPr="003A37FF">
        <w:fldChar w:fldCharType="end"/>
      </w:r>
      <w:r w:rsidRPr="003A37FF">
        <w:t xml:space="preserve">. A task force commissioned by the International Council for Commercial Arbitration estimated in 2018 that the international market for funding was over $10 billion and expanding quickly </w:t>
      </w:r>
      <w:r w:rsidRPr="003A37FF">
        <w:fldChar w:fldCharType="begin"/>
      </w:r>
      <w:r w:rsidRPr="003A37FF">
        <w:instrText xml:space="preserve"> ADDIN ZOTERO_ITEM CSL_CITATION {"citationID":"a8d9ivj7f3","properties":{"formattedCitation":"(International Council for Commercial Arbitration 2018)","plainCitation":"(International Council for Commercial Arbitration 2018)","noteIndex":0},"citationItems":[{"id":5793,"uris":["http://zotero.org/users/local/oXQBh7r1/items/D4BYKIUJ"],"uri":["http://zotero.org/users/local/oXQBh7r1/items/D4BYKIUJ"],"itemData":{"id":5793,"type":"book","ISBN":"978-94-92405-10-4","language":"en","note":"OCLC: 1041143231","source":"Open WorldCat","title":"Report of the ICCA-Queen Mary Task Force on third-party funding in international arbitration","URL":"http://www.kluwerarbitration.com/book-toc?title=ICCA%20Reports%20No.%204%3A%20Report%20of%20the%20ICCA-Queen%20Mary%20Task%20Force%20on%20Third-Party%20Funding%20in%20International%20Arbitration","author":[{"literal":"International Council for Commercial Arbitration"}],"accessed":{"date-parts":[["2020",5,20]]},"issued":{"date-parts":[["2018"]]}}}],"schema":"https://github.com/citation-style-language/schema/raw/master/csl-citation.json"} </w:instrText>
      </w:r>
      <w:r w:rsidRPr="003A37FF">
        <w:fldChar w:fldCharType="separate"/>
      </w:r>
      <w:r w:rsidRPr="003A37FF">
        <w:t>(International Council for Commercial Arbitration 2018)</w:t>
      </w:r>
      <w:r w:rsidRPr="003A37FF">
        <w:fldChar w:fldCharType="end"/>
      </w:r>
      <w:r w:rsidRPr="003A37FF">
        <w:t xml:space="preserve">. A major funder noted that in one year their firm was approached to participate in 28 out of the 34 active ISDS cases </w:t>
      </w:r>
      <w:r w:rsidRPr="003A37FF">
        <w:fldChar w:fldCharType="begin"/>
      </w:r>
      <w:r w:rsidRPr="003A37FF">
        <w:instrText xml:space="preserve"> ADDIN ZOTERO_ITEM CSL_CITATION {"citationID":"agrtksg55c","properties":{"formattedCitation":"(Dafe and Williams 2020, 5\\uc0\\u8211{}6)","plainCitation":"(Dafe and Williams 2020, 5–6)","noteIndex":0},"citationItems":[{"id":6775,"uris":["http://zotero.org/users/local/oXQBh7r1/items/D73MTSRJ"],"uri":["http://zotero.org/users/local/oXQBh7r1/items/D73MTSRJ"],"itemData":{"id":6775,"type":"article-journal","abstract":"In this paper, we explore the drivers of the rise of third-party funding (TPF) in investor-state arbitration. TPF involves financiers shouldering the legal fees of an investment treaty claim against a sovereign state in exchange for a share of any eventual award. Existing research has highlighted how TPF may exacerbate the inequities inherent to a legal regime that is already weighted in favor of private interests by increasing investors’ access to funding of their legal claims, but the factors which gave rise to TPF are little understood. We argue that financialization helps to explain both the spread and the characteristics of TPF. In particular, the evidence presented in this paper suggests that the large supply of investable capital that is searching for profitable investment opportunities helps to account for the rise of TPF. The analysis provides the basis for broader propositions and a research agenda about the ways in which financialization alters the logics of an international legal regime and aligns the interests of different private agents, both of which may change the public-private balance in investor-state arbitration and affect its legitimacy.","container-title":"Review of International Political Economy","DOI":"10.1080/09692290.2020.1764378","ISSN":"0969-2290, 1466-4526","journalAbbreviation":"Review of International Political Economy","language":"en","page":"1-23","source":"DOI.org (Crossref)","title":"Banking on courts: financialization and the rise of third-party funding in investment arbitration","title-short":"Banking on courts","author":[{"family":"Dafe","given":"Florence"},{"family":"Williams","given":"Zoe"}],"issued":{"date-parts":[["2020",5,13]]}},"locator":"5-6"}],"schema":"https://github.com/citation-style-language/schema/raw/master/csl-citation.json"} </w:instrText>
      </w:r>
      <w:r w:rsidRPr="003A37FF">
        <w:fldChar w:fldCharType="separate"/>
      </w:r>
      <w:r w:rsidRPr="003A37FF">
        <w:t>(Dafe and Williams 2020, 5–6)</w:t>
      </w:r>
      <w:r w:rsidRPr="003A37FF">
        <w:fldChar w:fldCharType="end"/>
      </w:r>
      <w:r w:rsidRPr="003A37FF">
        <w:t xml:space="preserve">. </w:t>
      </w:r>
    </w:p>
    <w:p w14:paraId="79B4C26E" w14:textId="1344AA8F" w:rsidR="00A46DAD" w:rsidRPr="003A37FF" w:rsidRDefault="00A46DAD" w:rsidP="00FA566C">
      <w:pPr>
        <w:spacing w:line="480" w:lineRule="auto"/>
        <w:ind w:firstLine="720"/>
      </w:pPr>
      <w:r w:rsidRPr="003A37FF">
        <w:t>At least 20 different governments have been involved in cases against claimants backed by TPF.</w:t>
      </w:r>
      <w:r w:rsidRPr="003A37FF">
        <w:rPr>
          <w:rStyle w:val="EndnoteReference"/>
        </w:rPr>
        <w:endnoteReference w:id="3"/>
      </w:r>
      <w:r w:rsidRPr="003A37FF">
        <w:t xml:space="preserve"> Some of these cases such as </w:t>
      </w:r>
      <w:r w:rsidRPr="003A37FF">
        <w:rPr>
          <w:i/>
          <w:iCs/>
        </w:rPr>
        <w:t>Crystallex</w:t>
      </w:r>
      <w:r w:rsidRPr="003A37FF">
        <w:t xml:space="preserve"> </w:t>
      </w:r>
      <w:r w:rsidRPr="003A37FF">
        <w:rPr>
          <w:i/>
          <w:iCs/>
        </w:rPr>
        <w:t>v. Venezuela</w:t>
      </w:r>
      <w:r w:rsidRPr="003A37FF">
        <w:t>,</w:t>
      </w:r>
      <w:r w:rsidRPr="003A37FF">
        <w:rPr>
          <w:i/>
          <w:iCs/>
        </w:rPr>
        <w:t xml:space="preserve"> </w:t>
      </w:r>
      <w:r w:rsidRPr="003A37FF">
        <w:t xml:space="preserve">where Tenor Capital Management could gain 70% of the Canadian company’s $1.2 billion claim, appear to fit into the conventional expropriation category. A number of others instead fall under the more (morally) ambiguous regulatory/indirect expropriation. Colombia could be on the hook for $764 million based on a TPF backed case related to the expansions of its conservation laws. When Romania withdrew from a mining project with Gabriel Resources, siding with domestic environmental protection groups, the TPF supported company filed a claim worth $3.2 billion. OECD governments are not immune here – Eskosol, with Italian and Belgian shareholders, brought a claim against Italy after the country altered its feed-in-tariff schemes for its energy sector. Unlike the cases against Romania and Colombia, Italy’s actions are likely to slow their climate change mitigation efforts, illustrating the financial, rather than normative, logics driving ISDS investors. </w:t>
      </w:r>
    </w:p>
    <w:p w14:paraId="4DFA6354" w14:textId="7A89F557" w:rsidR="00A46DAD" w:rsidRPr="003A37FF" w:rsidRDefault="00A46DAD" w:rsidP="00C82FEC">
      <w:pPr>
        <w:spacing w:line="480" w:lineRule="auto"/>
        <w:ind w:firstLine="720"/>
      </w:pPr>
      <w:r w:rsidRPr="003A37FF">
        <w:lastRenderedPageBreak/>
        <w:t xml:space="preserve">Why has the international investment regime taken on this unexpected turn? Part of the answer surely stems from the fact that firms have learned more about how these treaties work, and how broad and imprecise they actually are </w:t>
      </w:r>
      <w:r w:rsidRPr="003A37FF">
        <w:fldChar w:fldCharType="begin"/>
      </w:r>
      <w:r w:rsidRPr="003A37FF">
        <w:instrText xml:space="preserve"> ADDIN ZOTERO_ITEM CSL_CITATION {"citationID":"a18ophlb1hs","properties":{"formattedCitation":"(Tucker 2018; Calvert 2018)","plainCitation":"(Tucker 2018; Calvert 2018)","noteIndex":0},"citationItems":[{"id":4122,"uris":["http://zotero.org/users/local/oXQBh7r1/items/MU3GB5E5"],"uri":["http://zotero.org/users/local/oXQBh7r1/items/MU3GB5E5"],"itemData":{"id":4122,"type":"book","publisher":"Anthem Press","source":"Google Scholar","title":"Judge Knot: Politics and Development in International Investment Law","title-short":"Judge Knot","author":[{"family":"Tucker","given":"Todd N."}],"issued":{"date-parts":[["2018"]]}}},{"id":4168,"uris":["http://zotero.org/users/local/oXQBh7r1/items/WQJQBHCS"],"uri":["http://zotero.org/users/local/oXQBh7r1/items/WQJQBHCS"],"itemData":{"id":4168,"type":"article-journal","container-title":"Review of International Political Economy","issue":"1","page":"75–97","source":"Google Scholar","title":"Constructing investor rights? Why some states (fail to) terminate bilateral investment treaties","title-short":"Constructing investor rights?","volume":"25","author":[{"family":"Calvert","given":"Julia"}],"issued":{"date-parts":[["2018"]]}}}],"schema":"https://github.com/citation-style-language/schema/raw/master/csl-citation.json"} </w:instrText>
      </w:r>
      <w:r w:rsidRPr="003A37FF">
        <w:fldChar w:fldCharType="separate"/>
      </w:r>
      <w:r w:rsidRPr="003A37FF">
        <w:t>(Tucker 2018; Calvert 2018)</w:t>
      </w:r>
      <w:r w:rsidRPr="003A37FF">
        <w:fldChar w:fldCharType="end"/>
      </w:r>
      <w:r w:rsidRPr="003A37FF">
        <w:t>. But this does not help explain where this newfound understanding came from or why a new set of actors can effectively profit off the regime at the expense of governments. To make sense of the shift in the investment regime, it is useful to consider the ways in which it is part of a larger financialization process that has affected many traditional economic domains.</w:t>
      </w:r>
    </w:p>
    <w:p w14:paraId="2F38865F" w14:textId="77777777" w:rsidR="00A46DAD" w:rsidRPr="003A37FF" w:rsidRDefault="00A46DAD" w:rsidP="00C82FEC">
      <w:pPr>
        <w:spacing w:line="480" w:lineRule="auto"/>
        <w:ind w:firstLine="720"/>
      </w:pPr>
    </w:p>
    <w:p w14:paraId="468DBE9F" w14:textId="77777777" w:rsidR="00A46DAD" w:rsidRPr="003A37FF" w:rsidRDefault="00A46DAD" w:rsidP="007E3DDF">
      <w:pPr>
        <w:pStyle w:val="ListParagraph"/>
        <w:numPr>
          <w:ilvl w:val="0"/>
          <w:numId w:val="1"/>
        </w:numPr>
        <w:spacing w:line="480" w:lineRule="auto"/>
        <w:rPr>
          <w:rFonts w:ascii="Times New Roman" w:hAnsi="Times New Roman" w:cs="Times New Roman"/>
          <w:b/>
        </w:rPr>
      </w:pPr>
      <w:r w:rsidRPr="003A37FF">
        <w:rPr>
          <w:rFonts w:ascii="Times New Roman" w:hAnsi="Times New Roman" w:cs="Times New Roman"/>
          <w:b/>
        </w:rPr>
        <w:t>The Financialization of International Law</w:t>
      </w:r>
    </w:p>
    <w:p w14:paraId="3367A721" w14:textId="47A29F96" w:rsidR="00A46DAD" w:rsidRPr="003A37FF" w:rsidRDefault="00A46DAD" w:rsidP="007E3DDF">
      <w:pPr>
        <w:spacing w:line="480" w:lineRule="auto"/>
        <w:ind w:firstLine="720"/>
      </w:pPr>
      <w:r w:rsidRPr="003A37FF">
        <w:t xml:space="preserve">As Epstein </w:t>
      </w:r>
      <w:r w:rsidRPr="003A37FF">
        <w:fldChar w:fldCharType="begin"/>
      </w:r>
      <w:r w:rsidRPr="003A37FF">
        <w:instrText xml:space="preserve"> ADDIN ZOTERO_ITEM CSL_CITATION {"citationID":"hCGYNnfj","properties":{"formattedCitation":"(2005)","plainCitation":"(2005)","noteIndex":0},"citationItems":[{"id":4149,"uris":["http://zotero.org/users/local/oXQBh7r1/items/GTMU852F"],"uri":["http://zotero.org/users/local/oXQBh7r1/items/GTMU852F"],"itemData":{"id":4149,"type":"book","publisher":"Edward Elgar Publishing","source":"Google Scholar","title":"Financialization and the world economy","author":[{"family":"Epstein","given":"Gerald A."}],"issued":{"date-parts":[["2005"]]}},"suppress-author":true}],"schema":"https://github.com/citation-style-language/schema/raw/master/csl-citation.json"} </w:instrText>
      </w:r>
      <w:r w:rsidRPr="003A37FF">
        <w:fldChar w:fldCharType="separate"/>
      </w:r>
      <w:r w:rsidRPr="003A37FF">
        <w:rPr>
          <w:noProof/>
        </w:rPr>
        <w:t>(2005)</w:t>
      </w:r>
      <w:r w:rsidRPr="003A37FF">
        <w:fldChar w:fldCharType="end"/>
      </w:r>
      <w:r w:rsidRPr="003A37FF">
        <w:t xml:space="preserve"> notes, “Financialization refers to the increasing importance of financial markets, financial motives, financial institutions, and financial elites in the operation of the economy and its governing institutions, both at the national and international level.” Although important cross-country differences remain </w:t>
      </w:r>
      <w:r w:rsidRPr="003A37FF">
        <w:fldChar w:fldCharType="begin"/>
      </w:r>
      <w:r w:rsidRPr="003A37FF">
        <w:instrText xml:space="preserve"> ADDIN ZOTERO_ITEM CSL_CITATION {"citationID":"AUT5ipVt","properties":{"formattedCitation":"(Maxfield, Winecoff, and Young 2017)","plainCitation":"(Maxfield, Winecoff, and Young 2017)","noteIndex":0},"citationItems":[{"id":5698,"uris":["http://zotero.org/users/local/oXQBh7r1/items/M67XURZE"],"uri":["http://zotero.org/users/local/oXQBh7r1/items/M67XURZE"],"itemData":{"id":5698,"type":"article-journal","container-title":"Review of international political economy","issue":"6","note":"publisher: Taylor &amp; Francis","page":"1004–1029","source":"Google Scholar","title":"An empirical investigation of the financialization convergence hypothesis","volume":"24","author":[{"family":"Maxfield","given":"Sylvia"},{"family":"Winecoff","given":"W. Kindred"},{"family":"Young","given":"Kevin L."}],"issued":{"date-parts":[["2017"]]}}}],"schema":"https://github.com/citation-style-language/schema/raw/master/csl-citation.json"} </w:instrText>
      </w:r>
      <w:r w:rsidRPr="003A37FF">
        <w:fldChar w:fldCharType="separate"/>
      </w:r>
      <w:r w:rsidRPr="003A37FF">
        <w:rPr>
          <w:noProof/>
        </w:rPr>
        <w:t>(Maxfield, Winecoff, and Young 2017)</w:t>
      </w:r>
      <w:r w:rsidRPr="003A37FF">
        <w:fldChar w:fldCharType="end"/>
      </w:r>
      <w:r w:rsidRPr="003A37FF">
        <w:t xml:space="preserve">, various qualitative and econometric studies illustrate the spread of both complex financial arrangement and financial logics across the nominally advanced industrial countries. Too big to fail banks have replaced manufacturing as the engines of growth across much of the West, with credit creation moving out of the highly regulated enterprises into the hands of the multiple intermediaries constituting the shadow banking sector </w:t>
      </w:r>
      <w:r w:rsidRPr="003A37FF">
        <w:fldChar w:fldCharType="begin"/>
      </w:r>
      <w:r w:rsidRPr="003A37FF">
        <w:instrText xml:space="preserve"> ADDIN ZOTERO_ITEM CSL_CITATION {"citationID":"a1bla1al5i4","properties":{"formattedCitation":"(Helgad\\uc0\\u243{}ttir 2016)","plainCitation":"(Helgadóttir 2016)","noteIndex":0},"citationItems":[{"id":6734,"uris":["http://zotero.org/users/local/oXQBh7r1/items/W2Y5FMVY"],"uri":["http://zotero.org/users/local/oXQBh7r1/items/W2Y5FMVY"],"itemData":{"id":6734,"type":"article-journal","abstract":"What is shadow banking and what is political about it? To address these questions, the paper ﬁrst unpacks the mechanics of shadow banking and compares them to traditional banking. Based on this stylized explanation, it problematizes the use of the term ‘banking’. Indeed, shadow banks turn longterm liabilities into short-term ﬁnancial instruments, effectively turning traditional banking on its head. Next, it draws on three political science frameworks to bring to the fore and develop the political content of mainstream economic expertise on shadow banks. First, it shows that shadow banks played a signiﬁcant role in the rent-seeking behavior of the ﬁnancial sector by extracting regulatory rents and subsidies. Second, in spite of this, the extension of public backstops to shadow banks has largely been treated as logical institutional adaptation to a changing ﬁnancial landscape. Third, shadow banking emerged alongside and contributed to growing economic inequality. It did so by acting as a credit bridge between giant pools of money seeking returns and a growing number of borrowers, raising further questions about its economic and social utility. These ﬁndings contribute to the emerging political economy literature on shadow banking, expert ideas and the relationship between ﬁnance and larger societal developments.","container-title":"Review of International Political Economy","DOI":"10.1080/09692290.2016.1224196","ISSN":"0969-2290, 1466-4526","issue":"6","journalAbbreviation":"Review of International Political Economy","language":"en","page":"915-940","source":"DOI.org (Crossref)","title":"Banking upside down: the implicit politics of shadow banking expertise","title-short":"Banking upside down","volume":"23","author":[{"family":"Helgadóttir","given":"Oddný"}],"issued":{"date-parts":[["2016",11,1]]}}}],"schema":"https://github.com/citation-style-language/schema/raw/master/csl-citation.json"} </w:instrText>
      </w:r>
      <w:r w:rsidRPr="003A37FF">
        <w:fldChar w:fldCharType="separate"/>
      </w:r>
      <w:r w:rsidRPr="003A37FF">
        <w:t>(Helgadóttir 2016)</w:t>
      </w:r>
      <w:r w:rsidRPr="003A37FF">
        <w:fldChar w:fldCharType="end"/>
      </w:r>
      <w:r w:rsidRPr="003A37FF">
        <w:t>. The net result is an increas</w:t>
      </w:r>
      <w:r>
        <w:t>e</w:t>
      </w:r>
      <w:r w:rsidRPr="003A37FF">
        <w:t xml:space="preserve"> in economic inequality and the constant fear of financial tail risks.</w:t>
      </w:r>
    </w:p>
    <w:p w14:paraId="1080D40B" w14:textId="495A630E" w:rsidR="00A46DAD" w:rsidRPr="003A37FF" w:rsidRDefault="00A46DAD" w:rsidP="007E3DDF">
      <w:pPr>
        <w:spacing w:line="480" w:lineRule="auto"/>
        <w:ind w:firstLine="720"/>
      </w:pPr>
      <w:r w:rsidRPr="003A37FF">
        <w:t xml:space="preserve">While </w:t>
      </w:r>
      <w:r>
        <w:t>research</w:t>
      </w:r>
      <w:r w:rsidRPr="003A37FF">
        <w:t xml:space="preserve"> recognizes how financialization has reconfigured a variety of social institutions </w:t>
      </w:r>
      <w:r w:rsidRPr="003A37FF">
        <w:fldChar w:fldCharType="begin"/>
      </w:r>
      <w:r w:rsidRPr="003A37FF">
        <w:instrText xml:space="preserve"> ADDIN ZOTERO_ITEM CSL_CITATION {"citationID":"avot32jb51","properties":{"formattedCitation":"(Mabbett 2020)","plainCitation":"(Mabbett 2020)","noteIndex":0},"citationItems":[{"id":5726,"uris":["http://zotero.org/users/local/oXQBh7r1/items/RQPR2UDG"],"uri":["http://zotero.org/users/local/oXQBh7r1/items/RQPR2UDG"],"itemData":{"id":5726,"type":"article-journal","abstract":"In pensions, the practice of valuation purports to answer the question of whether a pension fund has sufficient assets to honor its promises. Uncertainty about the answer is converted into calculable risk, using the insights of financial economics. This article examines why UK pension funds have ‘derisked’ their portfolios by moving out of assets with volatile prices. It is shown that derisking is produced by the performance of financialized risk management in a regulatory setting where horizons are shortened. While derisking is not generally in the interests of employers or scheme members, and is damaging to the wider economy, three features of the governance structure for pensions have stymied attempts to counteract it. These are: the spillover effects of financialization in corporate accounting, herding around industry benchmarks, and collective action problems arising from the regulator’s dependence on dialogue with private actors and from the risk-aversion of political actors.","container-title":"Review of International Political Economy","DOI":"10.1080/09692290.2020.1758187","ISSN":"0969-2290, 1466-4526","journalAbbreviation":"Review of International Political Economy","language":"en","page":"1-21","source":"DOI.org (Crossref)","title":"Reckless prudence: financialization in UK pension scheme governance after the crisis","title-short":"Reckless prudence","author":[{"family":"Mabbett","given":"Deborah"}],"issued":{"date-parts":[["2020",4,28]]}}}],"schema":"https://github.com/citation-style-language/schema/raw/master/csl-citation.json"} </w:instrText>
      </w:r>
      <w:r w:rsidRPr="003A37FF">
        <w:fldChar w:fldCharType="separate"/>
      </w:r>
      <w:r w:rsidRPr="003A37FF">
        <w:t>(Mabbett 2020)</w:t>
      </w:r>
      <w:r w:rsidRPr="003A37FF">
        <w:fldChar w:fldCharType="end"/>
      </w:r>
      <w:r w:rsidRPr="003A37FF">
        <w:t xml:space="preserve">, and even altered the demands of democratic politics </w:t>
      </w:r>
      <w:r w:rsidRPr="003A37FF">
        <w:fldChar w:fldCharType="begin"/>
      </w:r>
      <w:r w:rsidRPr="003A37FF">
        <w:instrText xml:space="preserve"> ADDIN ZOTERO_ITEM CSL_CITATION {"citationID":"HXNUkqil","properties":{"formattedCitation":"(Chwieroth and Walter 2019)","plainCitation":"(Chwieroth and Walter 2019)","noteIndex":0},"citationItems":[{"id":5713,"uris":["http://zotero.org/users/local/oXQBh7r1/items/WSSHYAWI"],"uri":["http://zotero.org/users/local/oXQBh7r1/items/WSSHYAWI"],"itemData":{"id":5713,"type":"article-journal","abstract":"The co-evolution of democratic politics and mass, financialized wealth has destabilized highly integrated financial systems and the socio-political underpinnings of neoliberal policy norms at domestic and global levels. Over the long run, it has increased the political pressure on governments to undertake bailouts during major banking crises and, by raising voters’ attentiveness to wealth losses and distributional inequities, has sharply raised the bar for government performance. The result has been more costly bailouts, greater political instability and the sustained politicization of wealth cleavages in crisis aftermaths. We underline the crucial importance and modernity of this phenomenon by showing how the high concentration of wealth in pre-1914 Britain and America among elites was associated with limited crisis interventions and surprisingly tranquil political aftermaths. By contrast, the 2007–2009 crises in both countries epitomise the political dilemmas facing elected governments in a new world of mass financialized wealth and the impact on political polarization and democratic politics. We show that these dilemmas were embryonic in the interwar period and highlight how the evolutionary forces shaping policy and political outcomes reveal the importance of time, context and the effects of long cycles in the world economy and global politics.","container-title":"European Journal of International Relations","DOI":"10.1177/1354066119843319","ISSN":"1354-0661, 1460-3713","issue":"4","journalAbbreviation":"European Journal of International Relations","language":"en","page":"1007-1034","source":"DOI.org (Crossref)","title":"The financialization of mass wealth, banking crises and politics over the long run","volume":"25","author":[{"family":"Chwieroth","given":"Jeffrey M"},{"family":"Walter","given":"Andrew"}],"issued":{"date-parts":[["2019",12]]}}}],"schema":"https://github.com/citation-style-language/schema/raw/master/csl-citation.json"} </w:instrText>
      </w:r>
      <w:r w:rsidRPr="003A37FF">
        <w:fldChar w:fldCharType="separate"/>
      </w:r>
      <w:r w:rsidRPr="003A37FF">
        <w:rPr>
          <w:noProof/>
        </w:rPr>
        <w:t>(Chwieroth and Walter 2019)</w:t>
      </w:r>
      <w:r w:rsidRPr="003A37FF">
        <w:fldChar w:fldCharType="end"/>
      </w:r>
      <w:r w:rsidRPr="003A37FF">
        <w:t xml:space="preserve">, the literature has paid limited attention to the way that the legal sphere has also been financialized </w:t>
      </w:r>
      <w:r w:rsidRPr="003A37FF">
        <w:fldChar w:fldCharType="begin"/>
      </w:r>
      <w:r w:rsidRPr="003A37FF">
        <w:instrText xml:space="preserve"> ADDIN ZOTERO_ITEM CSL_CITATION {"citationID":"aqqn0g7kie","properties":{"formattedCitation":"(Davis and Kim 2015; Dafe and Williams 2020)","plainCitation":"(Davis and Kim 2015; Dafe and Williams 2020)","noteIndex":0},"citationItems":[{"id":721,"uris":["http://zotero.org/users/local/oXQBh7r1/items/ZXMJATUM"],"uri":["http://zotero.org/users/local/oXQBh7r1/items/ZXMJATUM"],"itemData":{"id":721,"type":"article-journal","container-title":"Sociology","issue":"1","page":"203","source":"Google Scholar","title":"Financialization of the economy","volume":"41","author":[{"family":"Davis","given":"Gerald F."},{"family":"Kim","given":"Suntae"}],"issued":{"date-parts":[["2015"]]}}},{"id":6775,"uris":["http://zotero.org/users/local/oXQBh7r1/items/D73MTSRJ"],"uri":["http://zotero.org/users/local/oXQBh7r1/items/D73MTSRJ"],"itemData":{"id":6775,"type":"article-journal","abstract":"In this paper, we explore the drivers of the rise of third-party funding (TPF) in investor-state arbitration. TPF involves financiers shouldering the legal fees of an investment treaty claim against a sovereign state in exchange for a share of any eventual award. Existing research has highlighted how TPF may exacerbate the inequities inherent to a legal regime that is already weighted in favor of private interests by increasing investors’ access to funding of their legal claims, but the factors which gave rise to TPF are little understood. We argue that financialization helps to explain both the spread and the characteristics of TPF. In particular, the evidence presented in this paper suggests that the large supply of investable capital that is searching for profitable investment opportunities helps to account for the rise of TPF. The analysis provides the basis for broader propositions and a research agenda about the ways in which financialization alters the logics of an international legal regime and aligns the interests of different private agents, both of which may change the public-private balance in investor-state arbitration and affect its legitimacy.","container-title":"Review of International Political Economy","DOI":"10.1080/09692290.2020.1764378","ISSN":"0969-2290, 1466-4526","journalAbbreviation":"Review of International Political Economy","language":"en","page":"1-23","source":"DOI.org (Crossref)","title":"Banking on courts: financialization and the rise of third-party funding in investment arbitration","title-short":"Banking on courts","author":[{"family":"Dafe","given":"Florence"},{"family":"Williams","given":"Zoe"}],"issued":{"date-parts":[["2020",5,13]]}}}],"schema":"https://github.com/citation-style-language/schema/raw/master/csl-citation.json"} </w:instrText>
      </w:r>
      <w:r w:rsidRPr="003A37FF">
        <w:fldChar w:fldCharType="separate"/>
      </w:r>
      <w:r w:rsidRPr="003A37FF">
        <w:t>(Davis and Kim 2015; Dafe and Williams 2020)</w:t>
      </w:r>
      <w:r w:rsidRPr="003A37FF">
        <w:fldChar w:fldCharType="end"/>
      </w:r>
      <w:r w:rsidRPr="003A37FF">
        <w:t xml:space="preserve">. Contingency fees and the </w:t>
      </w:r>
      <w:r w:rsidRPr="003A37FF">
        <w:lastRenderedPageBreak/>
        <w:t>funding of non-financial law suits by financial firms ha</w:t>
      </w:r>
      <w:r>
        <w:t>ve</w:t>
      </w:r>
      <w:r w:rsidRPr="003A37FF">
        <w:t xml:space="preserve"> become the norm across countries ranging from Australia, to Singapore, to the US </w:t>
      </w:r>
      <w:r w:rsidRPr="003A37FF">
        <w:fldChar w:fldCharType="begin"/>
      </w:r>
      <w:r w:rsidRPr="003A37FF">
        <w:instrText xml:space="preserve"> ADDIN ZOTERO_ITEM CSL_CITATION {"citationID":"9eXFfe6g","properties":{"formattedCitation":"(Hensler 2010; Steinitz 2010)","plainCitation":"(Hensler 2010; Steinitz 2010)","noteIndex":0},"citationItems":[{"id":4222,"uris":["http://zotero.org/users/local/oXQBh7r1/items/52FDNUQR"],"uri":["http://zotero.org/users/local/oXQBh7r1/items/52FDNUQR"],"itemData":{"id":4222,"type":"article-journal","container-title":"Geo. Wash. L. Rev.","page":"306","source":"Google Scholar","title":"The future of mass litigation: Global class actions and third-party litigation funding","title-short":"The future of mass litigation","volume":"79","author":[{"family":"Hensler","given":"Deborah R."}],"issued":{"date-parts":[["2010"]]}}},{"id":4220,"uris":["http://zotero.org/users/local/oXQBh7r1/items/IA353HZZ"],"uri":["http://zotero.org/users/local/oXQBh7r1/items/IA353HZZ"],"itemData":{"id":4220,"type":"article-journal","container-title":"Minn. L. Rev.","page":"1268","source":"Google Scholar","title":"Whose Claim is This Anyway-Third-Party Litigation Funding","volume":"95","author":[{"family":"Steinitz","given":"Maya"}],"issued":{"date-parts":[["2010"]]}}}],"schema":"https://github.com/citation-style-language/schema/raw/master/csl-citation.json"} </w:instrText>
      </w:r>
      <w:r w:rsidRPr="003A37FF">
        <w:fldChar w:fldCharType="separate"/>
      </w:r>
      <w:r w:rsidRPr="003A37FF">
        <w:rPr>
          <w:noProof/>
        </w:rPr>
        <w:t>(Hensler 2010; Steinitz 2010)</w:t>
      </w:r>
      <w:r w:rsidRPr="003A37FF">
        <w:fldChar w:fldCharType="end"/>
      </w:r>
      <w:r w:rsidRPr="003A37FF">
        <w:t xml:space="preserve">. It is now common practice for funders to receive the first payout from an award or settlement, rather than the firm or individuals that are the actual claimants, and we regularly see the returns for the latter become a marginal percent. For example, in an intellectual property case brought by security company Deep Nines, the firm only received $800,000 from a $25 million lawsuit after its funder took home $ 11 million </w:t>
      </w:r>
      <w:r w:rsidRPr="003A37FF">
        <w:fldChar w:fldCharType="begin"/>
      </w:r>
      <w:r w:rsidRPr="003A37FF">
        <w:instrText xml:space="preserve"> ADDIN ZOTERO_ITEM CSL_CITATION {"citationID":"t5XR9hEp","properties":{"formattedCitation":"(Sheridan 2016)","plainCitation":"(Sheridan 2016)","noteIndex":0},"citationItems":[{"id":4226,"uris":["http://zotero.org/users/local/oXQBh7r1/items/RDSW87KU"],"uri":["http://zotero.org/users/local/oXQBh7r1/items/RDSW87KU"],"itemData":{"id":4226,"type":"webpage","container-title":"Dinsmore &amp; Shohl LLP","language":"en-US","title":"Champerty and Maintenance in the Modern Era","URL":"https://www.dinsmore.com/publications/champerty-and-maintenance-in-the-modern-era/","author":[{"family":"Sheridan","given":"Jacqueline"}],"accessed":{"date-parts":[["2018",8,9]]},"issued":{"date-parts":[["2016",1,22]]}}}],"schema":"https://github.com/citation-style-language/schema/raw/master/csl-citation.json"} </w:instrText>
      </w:r>
      <w:r w:rsidRPr="003A37FF">
        <w:fldChar w:fldCharType="separate"/>
      </w:r>
      <w:r w:rsidRPr="003A37FF">
        <w:rPr>
          <w:noProof/>
        </w:rPr>
        <w:t>(Sheridan 2016)</w:t>
      </w:r>
      <w:r w:rsidRPr="003A37FF">
        <w:fldChar w:fldCharType="end"/>
      </w:r>
      <w:r w:rsidRPr="003A37FF">
        <w:t>. The latter represented a 27% return on investment for the hedge fund’s initial $8-million-dollar loan. The fund even went on to sue Deep Nines for settling at a sum below their expected return.</w:t>
      </w:r>
    </w:p>
    <w:p w14:paraId="6AF0C804" w14:textId="2B96FE62" w:rsidR="00A46DAD" w:rsidRPr="003A37FF" w:rsidRDefault="00A46DAD" w:rsidP="00B82124">
      <w:pPr>
        <w:spacing w:line="480" w:lineRule="auto"/>
        <w:ind w:firstLine="720"/>
      </w:pPr>
      <w:r w:rsidRPr="003A37FF">
        <w:t>TPF is not just impacting the ability of parties to bring claims or creating new ways for funds to line their pockets. The presence of outside money generally shifts the power dynamic by increasing the leverage of a claimant vis-à-vis the defense. James Rogers of law firm Norton Rose Fulbright explained the general effects of TPF on arbitration:</w:t>
      </w:r>
    </w:p>
    <w:p w14:paraId="7E0F06A5" w14:textId="7CD16338" w:rsidR="00A46DAD" w:rsidRPr="003A37FF" w:rsidRDefault="00A46DAD" w:rsidP="00877A14">
      <w:pPr>
        <w:widowControl w:val="0"/>
        <w:autoSpaceDE w:val="0"/>
        <w:autoSpaceDN w:val="0"/>
        <w:adjustRightInd w:val="0"/>
        <w:spacing w:after="240" w:line="300" w:lineRule="atLeast"/>
      </w:pPr>
      <w:r w:rsidRPr="003A37FF">
        <w:t xml:space="preserve">I was involved in a somewhat unusual +5 year case where the threat of funding led dramatically to settlement… We eventually had four arbitration awards in hand that we were getting ready to enforce and we were preparing another round of claims… The threat of funding confirmed our client’s persistence and, within a month confirming that we had engaged funders, the Chinese party agreed to settle. It was a very powerful tool. </w:t>
      </w:r>
      <w:r w:rsidRPr="003A37FF">
        <w:fldChar w:fldCharType="begin"/>
      </w:r>
      <w:r w:rsidRPr="003A37FF">
        <w:instrText xml:space="preserve"> ADDIN ZOTERO_ITEM CSL_CITATION {"citationID":"TOOegjAg","properties":{"formattedCitation":"(Sharp and Marsh 2017)","plainCitation":"(Sharp and Marsh 2017)","noteIndex":0},"citationItems":[{"id":4232,"uris":["http://zotero.org/users/local/oXQBh7r1/items/MPBS5RFG"],"uri":["http://zotero.org/users/local/oXQBh7r1/items/MPBS5RFG"],"itemData":{"id":4232,"type":"post-weblog","abstract":"This is the second in a series of two posts about third party funding (TPF) of litigation Geoff’s Part 1 looked at the principle of TPF. Now mediators Bill Marsh and Geoff Sharp get together to share thoughts on the impact TPF has on the mediation process Whatever else mediation is, it is certainly a... Continue reading","container-title":"Kluwer Mediation Blog","language":"en-US","title":"A New Seat at the Mediation Table? The Impact of Third-Party Funding on the Mediation Process (Part 2)","title-short":"A New Seat at the Mediation Table?","URL":"http://mediationblog.kluwerarbitration.com/2017/04/01/7498/","author":[{"family":"Sharp","given":"Geoff"},{"family":"Marsh","given":"Bill"}],"accessed":{"date-parts":[["2018",8,9]]},"issued":{"date-parts":[["2017",4,1]]}}}],"schema":"https://github.com/citation-style-language/schema/raw/master/csl-citation.json"} </w:instrText>
      </w:r>
      <w:r w:rsidRPr="003A37FF">
        <w:fldChar w:fldCharType="separate"/>
      </w:r>
      <w:r w:rsidRPr="003A37FF">
        <w:rPr>
          <w:noProof/>
        </w:rPr>
        <w:t>(Sharp and Marsh 2017)</w:t>
      </w:r>
      <w:r w:rsidRPr="003A37FF">
        <w:fldChar w:fldCharType="end"/>
      </w:r>
    </w:p>
    <w:p w14:paraId="39536EC8" w14:textId="4EE49ED1" w:rsidR="00A46DAD" w:rsidRPr="003A37FF" w:rsidRDefault="00A46DAD" w:rsidP="007E3DDF">
      <w:pPr>
        <w:spacing w:line="480" w:lineRule="auto"/>
        <w:ind w:firstLine="720"/>
      </w:pPr>
      <w:r w:rsidRPr="003A37FF">
        <w:t>While originally forbidden by many common law systems, numerous states have removed restrictions on “third-party finance” in the name of empowering claimants that do not have adequate resources to attain justice.</w:t>
      </w:r>
      <w:r w:rsidRPr="003A37FF">
        <w:rPr>
          <w:rStyle w:val="EndnoteReference"/>
        </w:rPr>
        <w:endnoteReference w:id="4"/>
      </w:r>
      <w:r w:rsidRPr="003A37FF">
        <w:t xml:space="preserve"> The little guy going up against a deep pocketed corporation has been used as a poster child for why changes to century old doctrines were necessary </w:t>
      </w:r>
      <w:r w:rsidRPr="003A37FF">
        <w:fldChar w:fldCharType="begin"/>
      </w:r>
      <w:r w:rsidRPr="003A37FF">
        <w:instrText xml:space="preserve"> ADDIN ZOTERO_ITEM CSL_CITATION {"citationID":"oy1TaQ9D","properties":{"formattedCitation":"(Santosuosso and Scarlett 2018)","plainCitation":"(Santosuosso and Scarlett 2018)","noteIndex":0},"citationItems":[{"id":4160,"uris":["http://zotero.org/users/local/oXQBh7r1/items/F96S3Q88"],"uri":["http://zotero.org/users/local/oXQBh7r1/items/F96S3Q88"],"itemData":{"id":4160,"type":"article-journal","container-title":"Boston College Law School Law and Justice in the Americas Working Paper No. 8","source":"Google Scholar","title":"Third-Party Funding in Investment Arbitration: Misappropriation of Access to Justice Rhetoric by Global Speculative Finance","title-short":"Third-Party Funding in Investment Arbitration","author":[{"family":"Santosuosso","given":"Tara"},{"family":"Scarlett","given":"Randall"}],"issued":{"date-parts":[["2018"]]}}}],"schema":"https://github.com/citation-style-language/schema/raw/master/csl-citation.json"} </w:instrText>
      </w:r>
      <w:r w:rsidRPr="003A37FF">
        <w:fldChar w:fldCharType="separate"/>
      </w:r>
      <w:r w:rsidRPr="003A37FF">
        <w:rPr>
          <w:noProof/>
        </w:rPr>
        <w:t>(Santosuosso and Scarlett 2018)</w:t>
      </w:r>
      <w:r w:rsidRPr="003A37FF">
        <w:fldChar w:fldCharType="end"/>
      </w:r>
      <w:r w:rsidRPr="003A37FF">
        <w:t xml:space="preserve">. Instead, we now regularly see the speculator bully governments, as finance’s reach extends well beyond its sector into the courts that make industry possible. </w:t>
      </w:r>
    </w:p>
    <w:p w14:paraId="50CDBEC1" w14:textId="5AA9B776" w:rsidR="00A46DAD" w:rsidRPr="003A37FF" w:rsidRDefault="00A46DAD" w:rsidP="007E3DDF">
      <w:pPr>
        <w:spacing w:line="480" w:lineRule="auto"/>
        <w:ind w:firstLine="720"/>
      </w:pPr>
      <w:r w:rsidRPr="003A37FF">
        <w:lastRenderedPageBreak/>
        <w:t xml:space="preserve">ISDS is a particularly attractive arena to financialize because of both its legal and investment properties. The regime is designed to give only private actors standing with no substantial recourse for governments – there is limited risk of a countersuit as would be a standard fear in private litigation. These are investors who, at the end of the day, are fundamentally interested in the huge returns that ISDS promises. The high-end cost estimate for an ISDS case is roughly $8 million dollars </w:t>
      </w:r>
      <w:r w:rsidRPr="003A37FF">
        <w:fldChar w:fldCharType="begin"/>
      </w:r>
      <w:r w:rsidRPr="003A37FF">
        <w:instrText xml:space="preserve"> ADDIN ZOTERO_ITEM CSL_CITATION {"citationID":"hvlP3sv7","properties":{"formattedCitation":"(Commission 2016)","plainCitation":"(Commission 2016)","noteIndex":0},"citationItems":[{"id":5739,"uris":["http://zotero.org/users/local/oXQBh7r1/items/IFJTBIID"],"uri":["http://zotero.org/users/local/oXQBh7r1/items/IFJTBIID"],"itemData":{"id":5739,"type":"webpage","abstract":"In recent years, ICSID has provided an increasing level of detail and transparency about the practice and procedure of ICSID Convention and ICSID Additional Facility arbitrations. The ICSID Secretariat has done so in a variety of ways: on its website, in Annual Reports, in The ICSID Caseload: Statistics, as well as in one-day primers it... Continue reading","container-title":"Kluwer Arbitration Blog","language":"en-US","note":"source: arbitrationblog.kluwerarbitration.com\nsection: Cost","title":"How Much Does an ICSID Arbitration Cost? A Snapshot of the Last Five Years","title-short":"How Much Does an ICSID Arbitration Cost?","URL":"http://arbitrationblog.kluwerarbitration.com/2016/02/29/how-much-does-an-icsid-arbitration-cost-a-snapshot-of-the-last-five-years/","author":[{"family":"Commission","given":"Jeffery P."}],"accessed":{"date-parts":[["2020",5,20]]},"issued":{"date-parts":[["2016",2,29]]}}}],"schema":"https://github.com/citation-style-language/schema/raw/master/csl-citation.json"} </w:instrText>
      </w:r>
      <w:r w:rsidRPr="003A37FF">
        <w:fldChar w:fldCharType="separate"/>
      </w:r>
      <w:r w:rsidRPr="003A37FF">
        <w:rPr>
          <w:noProof/>
        </w:rPr>
        <w:t>(Commission 2016)</w:t>
      </w:r>
      <w:r w:rsidRPr="003A37FF">
        <w:fldChar w:fldCharType="end"/>
      </w:r>
      <w:r w:rsidRPr="003A37FF">
        <w:t xml:space="preserve">. The average claim for an “indirect expropriation” is $1.1 billion as calculated by Pelc (2017, 570), and these claims have a success rate just above 20% over the past decade (Pelc 2017, 580). If we assume that third-party funders share half the return with the claimant while still paying the full legal costs, the expected return across 5 cases would be almost 14-fold. To put that in perspective, the S&amp;P500 gained roughly 3-fold over the past decade. There is obviously substantially more risk involved with ISDS than a standard equity investment, particularly because capital will be tied up for years due to the significantly less liquid market. But that is steadily evolving in the funder’s favor. For example, Burford recently invested $13 million in </w:t>
      </w:r>
      <w:r w:rsidRPr="003A37FF">
        <w:rPr>
          <w:i/>
        </w:rPr>
        <w:t>Teinver v. Argentina</w:t>
      </w:r>
      <w:r w:rsidRPr="003A37FF">
        <w:t xml:space="preserve">. It then sold that interest on the secondary market for $107 million, leading to a $94 million profit </w:t>
      </w:r>
      <w:r w:rsidRPr="003A37FF">
        <w:fldChar w:fldCharType="begin"/>
      </w:r>
      <w:r w:rsidRPr="003A37FF">
        <w:instrText xml:space="preserve"> ADDIN ZOTERO_ITEM CSL_CITATION {"citationID":"GtUNh90I","properties":{"formattedCitation":"(Garcia 2018)","plainCitation":"(Garcia 2018)","noteIndex":0},"citationItems":[{"id":4157,"uris":["http://zotero.org/users/local/oXQBh7r1/items/RX23SGF4"],"uri":["http://zotero.org/users/local/oXQBh7r1/items/RX23SGF4"],"itemData":{"id":4157,"type":"article-journal","container-title":"Boston College Law School Faculty Papers","source":"Google Scholar","title":"Third-Party Funding as Exploitation of the Investment Treaty System","author":[{"family":"Garcia","given":"Frank J."}],"issued":{"date-parts":[["2018"]]}}}],"schema":"https://github.com/citation-style-language/schema/raw/master/csl-citation.json"} </w:instrText>
      </w:r>
      <w:r w:rsidRPr="003A37FF">
        <w:fldChar w:fldCharType="separate"/>
      </w:r>
      <w:r w:rsidRPr="003A37FF">
        <w:rPr>
          <w:noProof/>
        </w:rPr>
        <w:t>(Garcia 2018)</w:t>
      </w:r>
      <w:r w:rsidRPr="003A37FF">
        <w:fldChar w:fldCharType="end"/>
      </w:r>
      <w:r w:rsidRPr="003A37FF">
        <w:t>. All this took a handful of months.</w:t>
      </w:r>
    </w:p>
    <w:p w14:paraId="001BD2A0" w14:textId="3BF01D1C" w:rsidR="00A46DAD" w:rsidRPr="003A37FF" w:rsidRDefault="00A46DAD" w:rsidP="007E3DDF">
      <w:pPr>
        <w:spacing w:line="480" w:lineRule="auto"/>
        <w:ind w:firstLine="720"/>
      </w:pPr>
      <w:r w:rsidRPr="003A37FF">
        <w:t xml:space="preserve">The Burford example also highlights that financialization is not restricted to the deal itself. As Buzzfeed reported: </w:t>
      </w:r>
    </w:p>
    <w:p w14:paraId="466BF5CD" w14:textId="5BEB0598" w:rsidR="00A46DAD" w:rsidRPr="003A37FF" w:rsidRDefault="00A46DAD" w:rsidP="007E3DDF">
      <w:r w:rsidRPr="003A37FF">
        <w:rPr>
          <w:color w:val="000000" w:themeColor="text1"/>
        </w:rPr>
        <w:t>Attracted to ISDS by the staggering sums in play, financiers have created an increasingly sophisticated marketplace around the claim itself. ‘We try to look at all of the different ways you can make money out of this,’ said Peter Griffin, a London-based lawyer and consultant who works with companies and funders…</w:t>
      </w:r>
      <w:r w:rsidRPr="003A37FF">
        <w:t xml:space="preserve"> </w:t>
      </w:r>
      <w:r w:rsidRPr="003A37FF">
        <w:rPr>
          <w:color w:val="000000" w:themeColor="text1"/>
        </w:rPr>
        <w:t xml:space="preserve">‘One of the attractions for some of these folks,’ Griffin said, is anonymity: ‘They kind of hide behind the entity that’s suing.’ </w:t>
      </w:r>
      <w:r w:rsidRPr="003A37FF">
        <w:rPr>
          <w:color w:val="000000" w:themeColor="text1"/>
        </w:rPr>
        <w:fldChar w:fldCharType="begin"/>
      </w:r>
      <w:r w:rsidRPr="003A37FF">
        <w:rPr>
          <w:color w:val="000000" w:themeColor="text1"/>
        </w:rPr>
        <w:instrText xml:space="preserve"> ADDIN ZOTERO_ITEM CSL_CITATION {"citationID":"1p5DX59f","properties":{"formattedCitation":"(Hamby 2016)","plainCitation":"(Hamby 2016)","noteIndex":0},"citationItems":[{"id":4230,"uris":["http://zotero.org/users/local/oXQBh7r1/items/ISXW4UTX"],"uri":["http://zotero.org/users/local/oXQBh7r1/items/ISXW4UTX"],"itemData":{"id":4230,"type":"webpage","abstract":"Financial companies have figured out how to turn a controversial global legal system to their own very profitable advantage. Part three of a BuzzFeed News investigation.","container-title":"BuzzFeed News","language":"en","title":"How Big Banks Bled A Tiny Island Nation","URL":"https://www.buzzfeednews.com/article/chrishamby/not-just-a-court-system-its-a-gold-mine","author":[{"family":"Hamby","given":"Chris"}],"accessed":{"date-parts":[["2018",8,9]]},"issued":{"date-parts":[["2016",8,31]]}}}],"schema":"https://github.com/citation-style-language/schema/raw/master/csl-citation.json"} </w:instrText>
      </w:r>
      <w:r w:rsidRPr="003A37FF">
        <w:rPr>
          <w:color w:val="000000" w:themeColor="text1"/>
        </w:rPr>
        <w:fldChar w:fldCharType="separate"/>
      </w:r>
      <w:r w:rsidRPr="003A37FF">
        <w:rPr>
          <w:noProof/>
          <w:color w:val="000000" w:themeColor="text1"/>
        </w:rPr>
        <w:t>(Hamby 2016)</w:t>
      </w:r>
      <w:r w:rsidRPr="003A37FF">
        <w:rPr>
          <w:color w:val="000000" w:themeColor="text1"/>
        </w:rPr>
        <w:fldChar w:fldCharType="end"/>
      </w:r>
    </w:p>
    <w:p w14:paraId="36C1A3B9" w14:textId="77777777" w:rsidR="00A46DAD" w:rsidRPr="003A37FF" w:rsidRDefault="00A46DAD" w:rsidP="007E3DDF">
      <w:pPr>
        <w:spacing w:line="480" w:lineRule="auto"/>
      </w:pPr>
    </w:p>
    <w:p w14:paraId="3DB2C7CC" w14:textId="6C4D4FEB" w:rsidR="00A46DAD" w:rsidRPr="003A37FF" w:rsidRDefault="00A46DAD" w:rsidP="007E3DDF">
      <w:pPr>
        <w:spacing w:line="480" w:lineRule="auto"/>
        <w:ind w:firstLine="720"/>
      </w:pPr>
      <w:r w:rsidRPr="003A37FF">
        <w:t xml:space="preserve">The interest in the claim is securitized, allowing the third-party players to enter and exit when they choose. It has even reached the point where multiple legal claims are being pooled </w:t>
      </w:r>
      <w:r w:rsidRPr="003A37FF">
        <w:lastRenderedPageBreak/>
        <w:t xml:space="preserve">and sliced into different risk bands with rights to returns then sold off, in a fashion mimicking mortgage backed securities. </w:t>
      </w:r>
    </w:p>
    <w:p w14:paraId="55588DF4" w14:textId="5C63742B" w:rsidR="00A46DAD" w:rsidRPr="003A37FF" w:rsidRDefault="00A46DAD" w:rsidP="004A0943">
      <w:pPr>
        <w:spacing w:line="480" w:lineRule="auto"/>
        <w:ind w:firstLine="720"/>
      </w:pPr>
      <w:r w:rsidRPr="003A37FF">
        <w:t xml:space="preserve">How did financialization come to transform international investment law? Work on financialization more generally tends to highlight three complementary approaches. Micro-studies focus on the development of new calculative devices or technologies as central to the ability of finance to flourish - developments in modeling and measuring risk have changed the internal process and cultures of corporations </w:t>
      </w:r>
      <w:r w:rsidRPr="003A37FF">
        <w:fldChar w:fldCharType="begin"/>
      </w:r>
      <w:r w:rsidRPr="003A37FF">
        <w:instrText xml:space="preserve"> ADDIN ZOTERO_ITEM CSL_CITATION {"citationID":"aet0kebh6t","properties":{"formattedCitation":"(Besedovsky 2018)","plainCitation":"(Besedovsky 2018)","noteIndex":0},"citationItems":[{"id":5709,"uris":["http://zotero.org/users/local/oXQBh7r1/items/N32THHYC"],"uri":["http://zotero.org/users/local/oXQBh7r1/items/N32THHYC"],"itemData":{"id":5709,"type":"article-journal","abstract":"The rise and evolution of financial calculative practices play a central role in financial markets and are an important force in the financialization process. Using the case of Moody’s, a major credit rating agency, this article traces a fundamental paradigm shift in rating practices since the late 1980s. These innovations in credit rating were driven by new calculative models, new kinds of analysts (so-called ‘quants’), and an increasingly profit-oriented organizational culture at Moody’s, all shaped by an increasingly financialized context. By studying credit rating agencies’ historical and current methodological publications and interviewing rating analysts, I show that the rating innovations of the 1980s and 1990s do not simply alter the rating methods or models. More importantly, they entail an entirely different set of epistemological assumptions about the calculability and predictability of the future, representing a fundamental paradigm shift in calculating and defining credit risk. In this framework, risk is not a threat that must be minimized, but a neutral variable that can be calculated, managed and used to generate profits. These structured finance rating practices suggest a high level of control over risk, and imply that knowledge about risk is sufficient to render it unproblematic. This specific culture of credit risk assessment enabled the emergence and exponential growth of structured finance markets, fueling a culture of high-risk investments. This article contributes to the literature on financialization by arguing that financialization occurs both at the level of organizational culture and calculative practices.","container-title":"Socio-Economic Review","DOI":"10.1093/ser/mwx043","ISSN":"1475-1461, 1475-147X","issue":"1","language":"en","page":"61-84","source":"DOI.org (Crossref)","title":"Financialization as calculative practice: the rise of structured finance and the cultural and calculative transformation of credit rating agencies","title-short":"Financialization as calculative practice","volume":"16","author":[{"family":"Besedovsky","given":"Natalia"}],"issued":{"date-parts":[["2018",1,1]]}}}],"schema":"https://github.com/citation-style-language/schema/raw/master/csl-citation.json"} </w:instrText>
      </w:r>
      <w:r w:rsidRPr="003A37FF">
        <w:fldChar w:fldCharType="separate"/>
      </w:r>
      <w:r w:rsidRPr="003A37FF">
        <w:t>(Besedovsky 2018)</w:t>
      </w:r>
      <w:r w:rsidRPr="003A37FF">
        <w:fldChar w:fldCharType="end"/>
      </w:r>
      <w:r w:rsidRPr="003A37FF">
        <w:t xml:space="preserve">. Others stress the rise of a shareholder value ideology shifting publicly traded firms away from productive long term investments, into boosting dividends in the short run </w:t>
      </w:r>
      <w:r w:rsidRPr="003A37FF">
        <w:fldChar w:fldCharType="begin"/>
      </w:r>
      <w:r w:rsidRPr="003A37FF">
        <w:instrText xml:space="preserve"> ADDIN ZOTERO_ITEM CSL_CITATION {"citationID":"a160v3d0t0e","properties":{"formattedCitation":"(Davis 2009)","plainCitation":"(Davis 2009)","noteIndex":0},"citationItems":[{"id":427,"uris":["http://zotero.org/users/local/oXQBh7r1/items/ZJHRTR4H"],"uri":["http://zotero.org/users/local/oXQBh7r1/items/ZJHRTR4H"],"itemData":{"id":427,"type":"book","publisher":"OUP Oxford","source":"Google Scholar","title":"Managed by the markets: How finance re-shaped America","title-short":"Managed by the markets","URL":"http://books.google.com/books?hl=en&amp;lr=&amp;id=ALOPj3KMknoC&amp;oi=fnd&amp;pg=PT2&amp;dq=info:w1RrOpwG1O8J:scholar.google.com&amp;ots=luR6NgHuSB&amp;sig=rBDvuj9BkEpl19DRlThCrzcb_RA","author":[{"family":"Davis","given":"Gerald F."}],"accessed":{"date-parts":[["2015",12,11]]},"issued":{"date-parts":[["2009"]]}}}],"schema":"https://github.com/citation-style-language/schema/raw/master/csl-citation.json"} </w:instrText>
      </w:r>
      <w:r w:rsidRPr="003A37FF">
        <w:fldChar w:fldCharType="separate"/>
      </w:r>
      <w:r w:rsidRPr="003A37FF">
        <w:t>(Davis 2009)</w:t>
      </w:r>
      <w:r w:rsidRPr="003A37FF">
        <w:fldChar w:fldCharType="end"/>
      </w:r>
      <w:r w:rsidRPr="003A37FF">
        <w:t xml:space="preserve">. Finally, research shows how the state has been intertwined with the financialization process. Krippner’s (2011) agenda defining work illustrates how the push toward deregulation of credit in the US was driven by the state trying to solve its own legitimacy crises. At a more instrumental-level, recent scholarship documents a convergence of interests from conventionally opposing political coalitions toward greater growth of financial markets  </w:t>
      </w:r>
      <w:r w:rsidRPr="003A37FF">
        <w:fldChar w:fldCharType="begin"/>
      </w:r>
      <w:r w:rsidRPr="003A37FF">
        <w:instrText xml:space="preserve"> ADDIN ZOTERO_ITEM CSL_CITATION {"citationID":"E66uZVpd","properties":{"formattedCitation":"(Pagliari, Phillips, and Young 2018; Pagliari and Young 2020; Witko 2016)","plainCitation":"(Pagliari, Phillips, and Young 2018; Pagliari and Young 2020; Witko 2016)","noteIndex":0},"citationItems":[{"id":5731,"uris":["http://zotero.org/users/local/oXQBh7r1/items/NBW5S5AS"],"uri":["http://zotero.org/users/local/oXQBh7r1/items/NBW5S5AS"],"itemData":{"id":5731,"type":"article-journal","abstract":"Political economists have often drawn a hard line between the interests of owners of capital and the interests of labor. Yet over the past 30 years in Anglo-Saxon countries in particular, workers have become increasingly invested in capital markets activity through the privatization of pension systems and other incentives for market-based savings. In this article, we investigate whether this ‘financialization of everyday life’ has generated a convergence of policy preferences whereby individuals support policies traditionally associated with the financial sector. Using three separate datasets on the US population, we find evidence that financial asset ownership is associated with lower support for more stringent financial regulatory policy, and higher support for financial sector bailouts. Such effects on individual preferences are modest on average, but persist even when controlling for indicators of social class and a range of other conditions, circumstances and time periods.","container-title":"Socio-Economic Review","DOI":"10.1093/ser/mwy027","ISSN":"1475-1461, 1475-147X","language":"en","source":"DOI.org (Crossref)","title":"The financialization of policy preferences: financial asset ownership, regulation and crisis management","title-short":"The financialization of policy preferences","URL":"https://academic.oup.com/ser/advance-article/doi/10.1093/ser/mwy027/5058009","author":[{"family":"Pagliari","given":"Stefano"},{"family":"Phillips","given":"Lauren M"},{"family":"Young","given":"Kevin L"}],"accessed":{"date-parts":[["2020",5,20]]},"issued":{"date-parts":[["2018",7,24]]}}},{"id":5746,"uris":["http://zotero.org/users/local/oXQBh7r1/items/JAWZ6L9L"],"uri":["http://zotero.org/users/local/oXQBh7r1/items/JAWZ6L9L"],"itemData":{"id":5746,"type":"article-journal","container-title":"The Routledge International Handbook of Financialization","note":"publisher: Routledge","source":"Google Scholar","title":"How Financialization is Reproduced Politically","author":[{"family":"Pagliari","given":"Stefano"},{"family":"Young","given":"K."}],"issued":{"date-parts":[["2020"]]}}},{"id":2072,"uris":["http://zotero.org/users/local/oXQBh7r1/items/2F5V3M6Q"],"uri":["http://zotero.org/users/local/oXQBh7r1/items/2F5V3M6Q"],"itemData":{"id":2072,"type":"article-journal","container-title":"British Journal of Political Science","issue":"02","page":"349–370","source":"Google Scholar","title":"The Politics of Financialization in the United States, 1949–2005","volume":"46","author":[{"family":"Witko","given":"Christopher"}],"issued":{"date-parts":[["2016"]]}}}],"schema":"https://github.com/citation-style-language/schema/raw/master/csl-citation.json"} </w:instrText>
      </w:r>
      <w:r w:rsidRPr="003A37FF">
        <w:fldChar w:fldCharType="separate"/>
      </w:r>
      <w:r w:rsidRPr="003A37FF">
        <w:rPr>
          <w:noProof/>
        </w:rPr>
        <w:t>(Pagliari, Phillips, and Young 2018; Pagliari and Young 2020; Witko 2016)</w:t>
      </w:r>
      <w:r w:rsidRPr="003A37FF">
        <w:fldChar w:fldCharType="end"/>
      </w:r>
      <w:r w:rsidRPr="003A37FF">
        <w:t xml:space="preserve">, especially as we see the state reliant on private market actors to perform their fundamental governance goals </w:t>
      </w:r>
      <w:r w:rsidRPr="003A37FF">
        <w:fldChar w:fldCharType="begin"/>
      </w:r>
      <w:r w:rsidRPr="003A37FF">
        <w:instrText xml:space="preserve"> ADDIN ZOTERO_ITEM CSL_CITATION {"citationID":"ass36j2m5l","properties":{"formattedCitation":"(Gabor and Ban 2016)","plainCitation":"(Gabor and Ban 2016)","noteIndex":0},"citationItems":[{"id":5748,"uris":["http://zotero.org/users/local/oXQBh7r1/items/ELSHT6AG"],"uri":["http://zotero.org/users/local/oXQBh7r1/items/ELSHT6AG"],"itemData":{"id":5748,"type":"article-journal","container-title":"JCMS: Journal of Common Market Studies","issue":"3","note":"publisher: Wiley Online Library","page":"617–635","source":"Google Scholar","title":"Banking on bonds: The new links between states and markets","title-short":"Banking on bonds","volume":"54","author":[{"family":"Gabor","given":"Daniela"},{"family":"Ban","given":"Cornel"}],"issued":{"date-parts":[["2016"]]}}}],"schema":"https://github.com/citation-style-language/schema/raw/master/csl-citation.json"} </w:instrText>
      </w:r>
      <w:r w:rsidRPr="003A37FF">
        <w:fldChar w:fldCharType="separate"/>
      </w:r>
      <w:r w:rsidRPr="003A37FF">
        <w:t>(Gabor and Ban 2016)</w:t>
      </w:r>
      <w:r w:rsidRPr="003A37FF">
        <w:fldChar w:fldCharType="end"/>
      </w:r>
      <w:r w:rsidRPr="003A37FF">
        <w:t xml:space="preserve">. </w:t>
      </w:r>
    </w:p>
    <w:p w14:paraId="436EB1C3" w14:textId="4754E4B4" w:rsidR="00A46DAD" w:rsidRPr="003A37FF" w:rsidRDefault="00A46DAD">
      <w:pPr>
        <w:spacing w:line="480" w:lineRule="auto"/>
        <w:ind w:firstLine="720"/>
      </w:pPr>
      <w:r w:rsidRPr="003A37FF">
        <w:t xml:space="preserve">Each of the three approaches can shed important light on the rise of TPF but each has its own limitations. New ways of measuring the value of cases and the probability of success were surely needed for the growth of the industry, but the legal knowledge required to develop these tools are unlikely to be found within the conventional financial industry. Rather than the creation of new models, however, the innovation would require combining financial and legal knowledge. Moreover, the other foundational technologies for financialization, such as the securitization process, have existed for quite some time. The growth could instead be driven by non-financial </w:t>
      </w:r>
      <w:r w:rsidRPr="003A37FF">
        <w:lastRenderedPageBreak/>
        <w:t xml:space="preserve">corporations that have internalized views on shareholder-value looking for new ways to manage their balance sheets and thereby create new streams for dividends. But again the timing is inconsistent as those pressures existed for more than two decades before the growth of TPF. The growth of the industry could be read as the result of state-led changes to the regulatory environment, or simply due to the increases in liquidity following the 2008 crisis, but it is unclear how the state has benefited from these changes. Rather than integrating the fates of private actors and the state, TPF has created a new set of contentious disputes between transnational finance and national public authorities.  </w:t>
      </w:r>
    </w:p>
    <w:p w14:paraId="2687EEF1" w14:textId="750FDB85" w:rsidR="00A46DAD" w:rsidRPr="003A37FF" w:rsidRDefault="00A46DAD" w:rsidP="0053653C">
      <w:pPr>
        <w:spacing w:line="480" w:lineRule="auto"/>
        <w:ind w:firstLine="720"/>
      </w:pPr>
      <w:r w:rsidRPr="003A37FF">
        <w:t xml:space="preserve">In sum, existing accounts of financialization provide general enabling conditions for the shift in the international investment regime as actors over the years have developed new risk technologies and political support for the overall financialization process. That said, they have more difficulty identifying how such technologies entered the regime or came to redefine its functions. </w:t>
      </w:r>
    </w:p>
    <w:p w14:paraId="71B44D81" w14:textId="77777777" w:rsidR="00A46DAD" w:rsidRPr="003A37FF" w:rsidRDefault="00A46DAD" w:rsidP="00C82FEC">
      <w:pPr>
        <w:spacing w:line="480" w:lineRule="auto"/>
      </w:pPr>
    </w:p>
    <w:p w14:paraId="7BA8A4F3" w14:textId="5C203436" w:rsidR="00A46DAD" w:rsidRPr="003A37FF" w:rsidRDefault="00A46DAD" w:rsidP="00C82FEC">
      <w:pPr>
        <w:pStyle w:val="ListParagraph"/>
        <w:numPr>
          <w:ilvl w:val="0"/>
          <w:numId w:val="1"/>
        </w:numPr>
        <w:spacing w:line="480" w:lineRule="auto"/>
        <w:rPr>
          <w:rFonts w:ascii="Times New Roman" w:hAnsi="Times New Roman" w:cs="Times New Roman"/>
          <w:b/>
        </w:rPr>
      </w:pPr>
      <w:r w:rsidRPr="003A37FF">
        <w:rPr>
          <w:rFonts w:ascii="Times New Roman" w:hAnsi="Times New Roman" w:cs="Times New Roman"/>
          <w:b/>
        </w:rPr>
        <w:t>Regime change through Field Interaction</w:t>
      </w:r>
    </w:p>
    <w:p w14:paraId="2F09E682" w14:textId="5959EDFF" w:rsidR="00A46DAD" w:rsidRDefault="00A46DAD" w:rsidP="00D522DC">
      <w:pPr>
        <w:spacing w:line="480" w:lineRule="auto"/>
        <w:ind w:firstLine="720"/>
      </w:pPr>
      <w:r w:rsidRPr="003A37FF">
        <w:t xml:space="preserve">Regimes, in Political Economy and International Relations, are generally defined as the set of formal and informal rules that guide and shape behavior. In addition to a set of institutions, regimes are inevitably animated and populated by individuals. The wave of research on “regime complexity” highlights how multiple organizations and institutions often claim authority over an issue area </w:t>
      </w:r>
      <w:r w:rsidRPr="003A37FF">
        <w:fldChar w:fldCharType="begin"/>
      </w:r>
      <w:r w:rsidRPr="003A37FF">
        <w:instrText xml:space="preserve"> ADDIN ZOTERO_ITEM CSL_CITATION {"citationID":"am5sk5nrsq","properties":{"formattedCitation":"(Alter and Meunier 2009)","plainCitation":"(Alter and Meunier 2009)","noteIndex":0},"citationItems":[{"id":167,"uris":["http://zotero.org/users/local/oXQBh7r1/items/CBHJZFW5"],"uri":["http://zotero.org/users/local/oXQBh7r1/items/CBHJZFW5"],"itemData":{"id":167,"type":"article-journal","container-title":"Perspectives on politics","issue":"01","page":"13–24","source":"Google Scholar","title":"The Politics of International Regime Complexity","volume":"7","author":[{"family":"Alter","given":"Karen J."},{"family":"Meunier","given":"Sophie"}],"issued":{"date-parts":[["2009"]]}}}],"schema":"https://github.com/citation-style-language/schema/raw/master/csl-citation.json"} </w:instrText>
      </w:r>
      <w:r w:rsidRPr="003A37FF">
        <w:fldChar w:fldCharType="separate"/>
      </w:r>
      <w:r w:rsidRPr="003A37FF">
        <w:t>(Alter and Meunier 2009)</w:t>
      </w:r>
      <w:r w:rsidRPr="003A37FF">
        <w:fldChar w:fldCharType="end"/>
      </w:r>
      <w:r w:rsidRPr="003A37FF">
        <w:t xml:space="preserve"> – these dynamics are frequently driven by the bureaucrats, firms, and civil society groups seeking to implement their own agendas </w:t>
      </w:r>
      <w:r w:rsidRPr="003A37FF">
        <w:fldChar w:fldCharType="begin"/>
      </w:r>
      <w:r w:rsidRPr="003A37FF">
        <w:instrText xml:space="preserve"> ADDIN ZOTERO_ITEM CSL_CITATION {"citationID":"af1j5a23b1","properties":{"formattedCitation":"(Green 2013)","plainCitation":"(Green 2013)","noteIndex":0},"citationItems":[{"id":808,"uris":["http://zotero.org/users/local/oXQBh7r1/items/GMDCGFF5"],"uri":["http://zotero.org/users/local/oXQBh7r1/items/GMDCGFF5"],"itemData":{"id":808,"type":"book","publisher":"Princeton University Press","source":"Google Scholar","title":"Rethinking private authority: Agents and entrepreneurs in global environmental governance","title-short":"Rethinking private authority","URL":"https://books.google.com/books?hl=en&amp;lr=&amp;id=RaX3AAAAQBAJ&amp;oi=fnd&amp;pg=PP1&amp;dq=green+2013+authority&amp;ots=oHROvdU8Qq&amp;sig=yxN-nySJBSv1vygc3Uc_OsH35pk","author":[{"family":"Green","given":"Jessica F."}],"accessed":{"date-parts":[["2016",6,9]]},"issued":{"date-parts":[["2013"]]}}}],"schema":"https://github.com/citation-style-language/schema/raw/master/csl-citation.json"} </w:instrText>
      </w:r>
      <w:r w:rsidRPr="003A37FF">
        <w:fldChar w:fldCharType="separate"/>
      </w:r>
      <w:r w:rsidRPr="003A37FF">
        <w:t>(Green 2013)</w:t>
      </w:r>
      <w:r w:rsidRPr="003A37FF">
        <w:fldChar w:fldCharType="end"/>
      </w:r>
      <w:r w:rsidRPr="003A37FF">
        <w:t xml:space="preserve">. </w:t>
      </w:r>
    </w:p>
    <w:p w14:paraId="71C9F062" w14:textId="61E526AF" w:rsidR="00A46DAD" w:rsidRPr="003A37FF" w:rsidRDefault="00A46DAD" w:rsidP="00D522DC">
      <w:pPr>
        <w:spacing w:line="480" w:lineRule="auto"/>
        <w:ind w:firstLine="720"/>
      </w:pPr>
      <w:r w:rsidRPr="003A37FF">
        <w:t xml:space="preserve">We start from the premise that these actors, their social world, and practices influence the ways in which regime rules and principles are deployed and function. Even when in conflict, </w:t>
      </w:r>
      <w:r w:rsidRPr="003A37FF">
        <w:lastRenderedPageBreak/>
        <w:t xml:space="preserve">regime operators often share similar backgrounds, educational experience, and even geolocation </w:t>
      </w:r>
      <w:r w:rsidRPr="003A37FF">
        <w:fldChar w:fldCharType="begin"/>
      </w:r>
      <w:r w:rsidRPr="003A37FF">
        <w:instrText xml:space="preserve"> ADDIN ZOTERO_ITEM CSL_CITATION {"citationID":"au09hcc90v","properties":{"formattedCitation":"(McNamara 1998; Weaver 2008; Seabrooke and Henriksen 2017)","plainCitation":"(McNamara 1998; Weaver 2008; Seabrooke and Henriksen 2017)","noteIndex":0},"citationItems":[{"id":740,"uris":["http://zotero.org/users/local/oXQBh7r1/items/52FTN3EN"],"uri":["http://zotero.org/users/local/oXQBh7r1/items/52FTN3EN"],"itemData":{"id":740,"type":"book","publisher":"Cambridge Univ Press","source":"Google Scholar","title":"The currency of ideas: monetary politics in the European Union","title-short":"The currency of ideas","URL":"http://journals.cambridge.org/production/action/cjoGetFulltext?fulltextid=6258388","author":[{"family":"McNamara","given":"Kathleen R."}],"accessed":{"date-parts":[["2016",3,16]]},"issued":{"date-parts":[["1998"]]}}},{"id":4251,"uris":["http://zotero.org/users/local/oXQBh7r1/items/7E5TPR73"],"uri":["http://zotero.org/users/local/oXQBh7r1/items/7E5TPR73"],"itemData":{"id":4251,"type":"book","publisher":"Princeton University Press","source":"Google Scholar","title":"Hypocrisy trap: The World Bank and the poverty of reform","title-short":"Hypocrisy trap","author":[{"family":"Weaver","given":"Catherine"}],"issued":{"date-parts":[["2008"]]}}},{"id":5243,"uris":["http://zotero.org/users/local/oXQBh7r1/items/4H6MTXS9"],"uri":["http://zotero.org/users/local/oXQBh7r1/items/4H6MTXS9"],"itemData":{"id":5243,"type":"book","publisher":"Cambridge University Press","source":"Google Scholar","title":"Professional networks in transnational governance","author":[{"family":"Seabrooke","given":"Leonard"},{"family":"Henriksen","given":"Lasse Folke"}],"issued":{"date-parts":[["2017"]]}}}],"schema":"https://github.com/citation-style-language/schema/raw/master/csl-citation.json"} </w:instrText>
      </w:r>
      <w:r w:rsidRPr="003A37FF">
        <w:fldChar w:fldCharType="separate"/>
      </w:r>
      <w:r w:rsidRPr="003A37FF">
        <w:t>(McNamara 1998; Weaver 2008; Seabrooke and Henriksen 2017)</w:t>
      </w:r>
      <w:r w:rsidRPr="003A37FF">
        <w:fldChar w:fldCharType="end"/>
      </w:r>
      <w:r w:rsidRPr="003A37FF">
        <w:t xml:space="preserve">. For example, governors of international trade live in New York, London or Geneva, come armed with JDs from a few select universities, and have work experience in a handful of corporate law firms specializing in international trade, which helps them to navigate the complex world of anti-dumping, non-tariff barriers, and product standards. Shared expertise and social interactions are what allow regimes to function, as actors must be able to communicate in an often silently agreed upon manner to design and operate the institutions that eventually constitute a regime. </w:t>
      </w:r>
    </w:p>
    <w:p w14:paraId="0A541768" w14:textId="6F72010F" w:rsidR="00A46DAD" w:rsidRPr="003A37FF" w:rsidRDefault="00A46DAD" w:rsidP="00877A14">
      <w:pPr>
        <w:spacing w:line="480" w:lineRule="auto"/>
        <w:ind w:firstLine="720"/>
      </w:pPr>
      <w:r w:rsidRPr="003A37FF">
        <w:t xml:space="preserve">Building on scholarship in the sociology of organizations, we argue that regimes and their corresponding governance institutions are embedded within particular field dynamics. Fields encompass local social orders, in which a set of actors engage in regularized relations with each other based on commonly held beliefs </w:t>
      </w:r>
      <w:r w:rsidRPr="003A37FF">
        <w:fldChar w:fldCharType="begin"/>
      </w:r>
      <w:r w:rsidRPr="003A37FF">
        <w:instrText xml:space="preserve"> ADDIN ZOTERO_ITEM CSL_CITATION {"citationID":"a2ohprf4pi5","properties":{"formattedCitation":"(Fligstein and McAdam 2012; Zietsma et al. 2017)","plainCitation":"(Fligstein and McAdam 2012; Zietsma et al. 2017)","noteIndex":0},"citationItems":[{"id":1209,"uris":["http://zotero.org/users/local/oXQBh7r1/items/EJ3HUVFE"],"uri":["http://zotero.org/users/local/oXQBh7r1/items/EJ3HUVFE"],"itemData":{"id":1209,"type":"book","publisher":"Oxford University Press","source":"Google Scholar","title":"A theory of fields","URL":"https://books.google.com/books?hl=en&amp;lr=&amp;id=7uFoAgAAQBAJ&amp;oi=fnd&amp;pg=PP1&amp;dq=fligstein+fields&amp;ots=y9l_x8irpe&amp;sig=1sXoMqjG30Nxlfz8JPo3k-SwpfY","author":[{"family":"Fligstein","given":"Neil"},{"family":"McAdam","given":"Doug"}],"accessed":{"date-parts":[["2016",7,4]]},"issued":{"date-parts":[["2012"]]}}},{"id":5772,"uris":["http://zotero.org/users/local/oXQBh7r1/items/JPJITFLN"],"uri":["http://zotero.org/users/local/oXQBh7r1/items/JPJITFLN"],"itemData":{"id":5772,"type":"article-journal","container-title":"Academy of Management Annals","DOI":"10.5465/annals.2014.0052","ISSN":"1941-6520, 1941-6067","issue":"1","journalAbbreviation":"ANNALS","language":"en","page":"391-450","source":"DOI.org (Crossref)","title":"Field or Fields? Building the Scaffolding for Cumulation of Research on Institutional Fields","title-short":"Field or Fields?","volume":"11","author":[{"family":"Zietsma","given":"Charlene"},{"family":"Groenewegen","given":"Peter"},{"family":"Logue","given":"Danielle M."},{"family":"(Bob) Hinings","given":"C. R."}],"issued":{"date-parts":[["2017",1]]}}}],"schema":"https://github.com/citation-style-language/schema/raw/master/csl-citation.json"} </w:instrText>
      </w:r>
      <w:r w:rsidRPr="003A37FF">
        <w:fldChar w:fldCharType="separate"/>
      </w:r>
      <w:r w:rsidRPr="003A37FF">
        <w:t>(Fligstein and McAdam 2012; Zietsma et al. 2017)</w:t>
      </w:r>
      <w:r w:rsidRPr="003A37FF">
        <w:fldChar w:fldCharType="end"/>
      </w:r>
      <w:r w:rsidRPr="003A37FF">
        <w:t xml:space="preserve">. Actors within a regime develop their own practices, based off their field and professional expertise, which provide the means to coordinate their behavior and deal with problems efficiently in their specific context </w:t>
      </w:r>
      <w:r w:rsidRPr="003A37FF">
        <w:fldChar w:fldCharType="begin"/>
      </w:r>
      <w:r w:rsidRPr="003A37FF">
        <w:instrText xml:space="preserve"> ADDIN ZOTERO_ITEM CSL_CITATION {"citationID":"k4EDJ16E","properties":{"formattedCitation":"(Pouliot 2008; Seabrooke and Henriksen 2017)","plainCitation":"(Pouliot 2008; Seabrooke and Henriksen 2017)","noteIndex":0},"citationItems":[{"id":1171,"uris":["http://zotero.org/users/local/oXQBh7r1/items/HSDDKS7Z"],"uri":["http://zotero.org/users/local/oXQBh7r1/items/HSDDKS7Z"],"itemData":{"id":1171,"type":"article-journal","container-title":"International organization","issue":"02","page":"257–288","source":"Google Scholar","title":"The logic of practicality: A theory of practice of security communities","title-short":"The logic of practicality","volume":"62","author":[{"family":"Pouliot","given":"Vincent"}],"issued":{"date-parts":[["2008"]]}}},{"id":5243,"uris":["http://zotero.org/users/local/oXQBh7r1/items/4H6MTXS9"],"uri":["http://zotero.org/users/local/oXQBh7r1/items/4H6MTXS9"],"itemData":{"id":5243,"type":"book","publisher":"Cambridge University Press","source":"Google Scholar","title":"Professional networks in transnational governance","author":[{"family":"Seabrooke","given":"Leonard"},{"family":"Henriksen","given":"Lasse Folke"}],"issued":{"date-parts":[["2017"]]}}}],"schema":"https://github.com/citation-style-language/schema/raw/master/csl-citation.json"} </w:instrText>
      </w:r>
      <w:r w:rsidRPr="003A37FF">
        <w:fldChar w:fldCharType="separate"/>
      </w:r>
      <w:r w:rsidRPr="003A37FF">
        <w:rPr>
          <w:noProof/>
        </w:rPr>
        <w:t>(Pouliot 2008; Seabrooke and Henriksen 2017)</w:t>
      </w:r>
      <w:r w:rsidRPr="003A37FF">
        <w:fldChar w:fldCharType="end"/>
      </w:r>
      <w:r w:rsidRPr="003A37FF">
        <w:t xml:space="preserve">. These include developing procedures like the process that will decide what eventually becomes a rule, or how disputes can be resolved, and informal norms like what will be on an agenda or what needs to be discussed behind closed doors. Fields not only facilitate cooperation but also shape the way in which cooperation is practiced </w:t>
      </w:r>
      <w:r w:rsidRPr="003A37FF">
        <w:fldChar w:fldCharType="begin"/>
      </w:r>
      <w:r w:rsidRPr="003A37FF">
        <w:instrText xml:space="preserve"> ADDIN ZOTERO_ITEM CSL_CITATION {"citationID":"am95r8doln","properties":{"formattedCitation":"(Sending 2015)","plainCitation":"(Sending 2015)","noteIndex":0},"citationItems":[{"id":5693,"uris":["http://zotero.org/users/local/oXQBh7r1/items/H42GR7HQ"],"uri":["http://zotero.org/users/local/oXQBh7r1/items/H42GR7HQ"],"itemData":{"id":5693,"type":"book","publisher":"University of Michigan Press","source":"Google Scholar","title":"The politics of expertise: Competing for authority in global governance","title-short":"The politics of expertise","author":[{"family":"Sending","given":"Ole Jacob"}],"issued":{"date-parts":[["2015"]]}}}],"schema":"https://github.com/citation-style-language/schema/raw/master/csl-citation.json"} </w:instrText>
      </w:r>
      <w:r w:rsidRPr="003A37FF">
        <w:fldChar w:fldCharType="separate"/>
      </w:r>
      <w:r w:rsidRPr="003A37FF">
        <w:t>(Sending 2015)</w:t>
      </w:r>
      <w:r w:rsidRPr="003A37FF">
        <w:fldChar w:fldCharType="end"/>
      </w:r>
      <w:r w:rsidRPr="003A37FF">
        <w:t xml:space="preserve">. We assume that the combination of actor backgrounds and routinized social interaction generally hold regimes together and lay the basis for the global governance of an issue. </w:t>
      </w:r>
    </w:p>
    <w:p w14:paraId="6B17DF6D" w14:textId="0BE22E57" w:rsidR="00A46DAD" w:rsidRPr="003A37FF" w:rsidRDefault="00A46DAD" w:rsidP="00C82FEC">
      <w:pPr>
        <w:spacing w:line="480" w:lineRule="auto"/>
        <w:ind w:firstLine="720"/>
      </w:pPr>
      <w:r w:rsidRPr="003A37FF">
        <w:t xml:space="preserve">Considerable scholarship on fields suggests that dominant actors are well positioned to resist changes to governance institutions </w:t>
      </w:r>
      <w:r w:rsidRPr="003A37FF">
        <w:fldChar w:fldCharType="begin"/>
      </w:r>
      <w:r w:rsidRPr="003A37FF">
        <w:instrText xml:space="preserve"> ADDIN ZOTERO_ITEM CSL_CITATION {"citationID":"ho636u3R","properties":{"formattedCitation":"(Fligstein and McAdam 2012; Zietsma et al. 2017)","plainCitation":"(Fligstein and McAdam 2012; Zietsma et al. 2017)","noteIndex":0},"citationItems":[{"id":1209,"uris":["http://zotero.org/users/local/oXQBh7r1/items/EJ3HUVFE"],"uri":["http://zotero.org/users/local/oXQBh7r1/items/EJ3HUVFE"],"itemData":{"id":1209,"type":"book","publisher":"Oxford University Press","source":"Google Scholar","title":"A theory of fields","URL":"https://books.google.com/books?hl=en&amp;lr=&amp;id=7uFoAgAAQBAJ&amp;oi=fnd&amp;pg=PP1&amp;dq=fligstein+fields&amp;ots=y9l_x8irpe&amp;sig=1sXoMqjG30Nxlfz8JPo3k-SwpfY","author":[{"family":"Fligstein","given":"Neil"},{"family":"McAdam","given":"Doug"}],"accessed":{"date-parts":[["2016",7,4]]},"issued":{"date-parts":[["2012"]]}}},{"id":5772,"uris":["http://zotero.org/users/local/oXQBh7r1/items/JPJITFLN"],"uri":["http://zotero.org/users/local/oXQBh7r1/items/JPJITFLN"],"itemData":{"id":5772,"type":"article-journal","container-title":"Academy of Management Annals","DOI":"10.5465/annals.2014.0052","ISSN":"1941-6520, 1941-6067","issue":"1","journalAbbreviation":"ANNALS","language":"en","page":"391-450","source":"DOI.org (Crossref)","title":"Field or Fields? Building the Scaffolding for Cumulation of Research on Institutional Fields","title-short":"Field or Fields?","volume":"11","author":[{"family":"Zietsma","given":"Charlene"},{"family":"Groenewegen","given":"Peter"},{"family":"Logue","given":"Danielle M."},{"family":"(Bob) Hinings","given":"C. R."}],"issued":{"date-parts":[["2017",1]]}}}],"schema":"https://github.com/citation-style-language/schema/raw/master/csl-citation.json"} </w:instrText>
      </w:r>
      <w:r w:rsidRPr="003A37FF">
        <w:fldChar w:fldCharType="separate"/>
      </w:r>
      <w:r w:rsidRPr="003A37FF">
        <w:t>(Fligstein and McAdam 2012; Zietsma et al. 2017)</w:t>
      </w:r>
      <w:r w:rsidRPr="003A37FF">
        <w:fldChar w:fldCharType="end"/>
      </w:r>
      <w:r w:rsidRPr="003A37FF">
        <w:t xml:space="preserve"> . </w:t>
      </w:r>
      <w:r w:rsidRPr="003A37FF">
        <w:lastRenderedPageBreak/>
        <w:t xml:space="preserve">Such actors within the field will try to further their own goals, creating the regime that best serves their interests or provide them more autonomy, while blocking changes that could upset a beneficial status quo. This political activity will </w:t>
      </w:r>
      <w:r>
        <w:t xml:space="preserve">follow </w:t>
      </w:r>
      <w:r w:rsidRPr="003A37FF">
        <w:t xml:space="preserve">the policymaker’s professional experience and the field’s practices. The purpose of the regime, as institutions become locked-in or even as innovations occur via feedback loops or bricolage, generally remains constant due to the field premises actors use to operate the regime </w:t>
      </w:r>
      <w:r w:rsidRPr="003A37FF">
        <w:fldChar w:fldCharType="begin"/>
      </w:r>
      <w:r w:rsidRPr="003A37FF">
        <w:instrText xml:space="preserve"> ADDIN ZOTERO_ITEM CSL_CITATION {"citationID":"a196n3k8d8p","properties":{"formattedCitation":"(Pouliot 2008; Kalyanpur and Newman 2017)","plainCitation":"(Pouliot 2008; Kalyanpur and Newman 2017)","noteIndex":0},"citationItems":[{"id":1171,"uris":["http://zotero.org/users/local/oXQBh7r1/items/HSDDKS7Z"],"uri":["http://zotero.org/users/local/oXQBh7r1/items/HSDDKS7Z"],"itemData":{"id":1171,"type":"article-journal","container-title":"International organization","issue":"02","page":"257–288","source":"Google Scholar","title":"The logic of practicality: A theory of practice of security communities","title-short":"The logic of practicality","volume":"62","author":[{"family":"Pouliot","given":"Vincent"}],"issued":{"date-parts":[["2008"]]}}},{"id":4206,"uris":["http://zotero.org/users/local/oXQBh7r1/items/XVX4HSAT"],"uri":["http://zotero.org/users/local/oXQBh7r1/items/XVX4HSAT"],"itemData":{"id":4206,"type":"article-journal","container-title":"Review of International Political Economy","issue":"3","page":"363–392","source":"Google Scholar","title":"Form over function in finance: international institutional design by bricolage","title-short":"Form over function in finance","volume":"24","author":[{"family":"Kalyanpur","given":"Nikhil"},{"family":"Newman","given":"Abraham"}],"issued":{"date-parts":[["2017"]]}}}],"schema":"https://github.com/citation-style-language/schema/raw/master/csl-citation.json"} </w:instrText>
      </w:r>
      <w:r w:rsidRPr="003A37FF">
        <w:fldChar w:fldCharType="separate"/>
      </w:r>
      <w:r w:rsidRPr="003A37FF">
        <w:t>(Pouliot 2008; Kalyanpur and Newman 2017)</w:t>
      </w:r>
      <w:r w:rsidRPr="003A37FF">
        <w:fldChar w:fldCharType="end"/>
      </w:r>
      <w:r w:rsidRPr="003A37FF">
        <w:t>. When change does occur, it often results from contestation within a field as exogenous shocks, for example, shift the balance of power between dominant actors and potential rivals.</w:t>
      </w:r>
    </w:p>
    <w:p w14:paraId="0DE3544F" w14:textId="7F1882E3" w:rsidR="00A46DAD" w:rsidRPr="003A37FF" w:rsidRDefault="00A46DAD" w:rsidP="00C82FEC">
      <w:pPr>
        <w:spacing w:line="480" w:lineRule="auto"/>
      </w:pPr>
      <w:r w:rsidRPr="003A37FF">
        <w:tab/>
        <w:t xml:space="preserve">Recent work on field dynamics, however, suggests that </w:t>
      </w:r>
      <w:r w:rsidRPr="003A37FF">
        <w:rPr>
          <w:noProof/>
        </w:rPr>
        <w:t xml:space="preserve">field interaction may serve as an underexplored pathway for institutional and therby regime change </w:t>
      </w:r>
      <w:r w:rsidRPr="003A37FF">
        <w:rPr>
          <w:noProof/>
        </w:rPr>
        <w:fldChar w:fldCharType="begin"/>
      </w:r>
      <w:r w:rsidRPr="003A37FF">
        <w:rPr>
          <w:noProof/>
        </w:rPr>
        <w:instrText xml:space="preserve"> ADDIN ZOTERO_ITEM CSL_CITATION {"citationID":"a2nnpo5brea","properties":{"formattedCitation":"(Furnari 2016; Landy 2015)","plainCitation":"(Furnari 2016; Landy 2015)","noteIndex":0},"citationItems":[{"id":5767,"uris":["http://zotero.org/users/local/oXQBh7r1/items/SNBZ59NA"],"uri":["http://zotero.org/users/local/oXQBh7r1/items/SNBZ59NA"],"itemData":{"id":5767,"type":"article-journal","abstract":"Theories of institutional change have paid limited attention to the ways in which relations between institutional fields might facilitate or hinder institutional change. I introduce inter-field resource dependence as an important condition explaining institutional change between fields. Building on resource dependence theory, I conceptualize two dimensions of inter-field resource dependence: mutual dependence and power imbalance. I argue that these two dimensions have opposite effects on the likelihood of institutional change between fields. Mutual dependence between two fields increases the chances of institutional change by inducing actors in both the fields to work at creating new shared institutions in order to regulate their mutual dependence. Power imbalance between two fields decreases the chances of institutional change by inducing actors in the dominant field to work at maintaining existing institutions in order to preserve their power. Thus, different types of inter-field resource dependence motivate actors to undertake different forms of institutional work, which in turn shape the likelihood of institutional change between fields. Developing this core argument, I theorize that whether the institutional change occurring between two fields is radical or incremental is a function of the type of resource dependence linking the two fields; for example, when power imbalance is high, institutional change is unlikely but when it occurs it tends to be radical.","container-title":"Human Relations","DOI":"10.1177/0018726715605555","ISSN":"0018-7267, 1741-282X","issue":"3","journalAbbreviation":"Human Relations","language":"en","page":"551-580","source":"DOI.org (Crossref)","title":"Institutional fields as linked arenas: Inter-field resource dependence, institutional work and institutional change","title-short":"Institutional fields as linked arenas","volume":"69","author":[{"family":"Furnari","given":"Santi"}],"issued":{"date-parts":[["2016",3]]}}},{"id":5771,"uris":["http://zotero.org/users/local/oXQBh7r1/items/7BFK2ZGX"],"uri":["http://zotero.org/users/local/oXQBh7r1/items/7BFK2ZGX"],"itemData":{"id":5771,"type":"article-journal","abstract":"This article applies ﬁeld theory in order to build an understanding of aspects of social movements practice. It argues that the way social movements are positioned within their various ﬁelds of practice and the way these ﬁelds inter-relate with each other can help explain how movements arrive at their strategies and ideologies. The relationship between the ﬁelds within which social movements operate also provides a means to explain how movement participants can become agents for change.","container-title":"Social Movement Studies","DOI":"10.1080/14742837.2014.945412","ISSN":"1474-2837, 1474-2829","issue":"3","journalAbbreviation":"Social Movement Studies","language":"en","page":"255-269","source":"DOI.org (Crossref)","title":"Bringing the Outside In: Field Interaction and Transformation from Below in Political Struggles","title-short":"Bringing the Outside In","volume":"14","author":[{"family":"Landy","given":"David"}],"issued":{"date-parts":[["2015",5,4]]}}}],"schema":"https://github.com/citation-style-language/schema/raw/master/csl-citation.json"} </w:instrText>
      </w:r>
      <w:r w:rsidRPr="003A37FF">
        <w:rPr>
          <w:noProof/>
        </w:rPr>
        <w:fldChar w:fldCharType="separate"/>
      </w:r>
      <w:r w:rsidRPr="003A37FF">
        <w:t>(Furnari 2016; Landy 2015)</w:t>
      </w:r>
      <w:r w:rsidRPr="003A37FF">
        <w:rPr>
          <w:noProof/>
        </w:rPr>
        <w:fldChar w:fldCharType="end"/>
      </w:r>
      <w:r w:rsidRPr="003A37FF">
        <w:rPr>
          <w:noProof/>
        </w:rPr>
        <w:t>.</w:t>
      </w:r>
      <w:r w:rsidRPr="003A37FF">
        <w:t xml:space="preserve"> Policymakers or non-state actors that come from an alternate field have their own, relatively distinct, expertise, social roles, and backgrounds. Their preferences for how to solve problems, or how to take advantage of new opportunities are conditioned by their own local norms and understandings about social behavior </w:t>
      </w:r>
      <w:r w:rsidRPr="003A37FF">
        <w:fldChar w:fldCharType="begin"/>
      </w:r>
      <w:r w:rsidRPr="003A37FF">
        <w:instrText xml:space="preserve"> ADDIN ZOTERO_ITEM CSL_CITATION {"citationID":"a5pqntlme0","properties":{"formattedCitation":"(Landy 2015; Sending 2015)","plainCitation":"(Landy 2015; Sending 2015)","noteIndex":0},"citationItems":[{"id":5771,"uris":["http://zotero.org/users/local/oXQBh7r1/items/7BFK2ZGX"],"uri":["http://zotero.org/users/local/oXQBh7r1/items/7BFK2ZGX"],"itemData":{"id":5771,"type":"article-journal","abstract":"This article applies ﬁeld theory in order to build an understanding of aspects of social movements practice. It argues that the way social movements are positioned within their various ﬁelds of practice and the way these ﬁelds inter-relate with each other can help explain how movements arrive at their strategies and ideologies. The relationship between the ﬁelds within which social movements operate also provides a means to explain how movement participants can become agents for change.","container-title":"Social Movement Studies","DOI":"10.1080/14742837.2014.945412","ISSN":"1474-2837, 1474-2829","issue":"3","journalAbbreviation":"Social Movement Studies","language":"en","page":"255-269","source":"DOI.org (Crossref)","title":"Bringing the Outside In: Field Interaction and Transformation from Below in Political Struggles","title-short":"Bringing the Outside In","volume":"14","author":[{"family":"Landy","given":"David"}],"issued":{"date-parts":[["2015",5,4]]}}},{"id":5693,"uris":["http://zotero.org/users/local/oXQBh7r1/items/H42GR7HQ"],"uri":["http://zotero.org/users/local/oXQBh7r1/items/H42GR7HQ"],"itemData":{"id":5693,"type":"book","publisher":"University of Michigan Press","source":"Google Scholar","title":"The politics of expertise: Competing for authority in global governance","title-short":"The politics of expertise","author":[{"family":"Sending","given":"Ole Jacob"}],"issued":{"date-parts":[["2015"]]}}}],"schema":"https://github.com/citation-style-language/schema/raw/master/csl-citation.json"} </w:instrText>
      </w:r>
      <w:r w:rsidRPr="003A37FF">
        <w:fldChar w:fldCharType="separate"/>
      </w:r>
      <w:r w:rsidRPr="003A37FF">
        <w:t>(Landy 2015; Sending 2015)</w:t>
      </w:r>
      <w:r w:rsidRPr="003A37FF">
        <w:fldChar w:fldCharType="end"/>
      </w:r>
      <w:r w:rsidRPr="003A37FF">
        <w:t xml:space="preserve">. For example, those with legal backgrounds will often look for how to exploit precedents, while others that come from financial backgrounds are more likely to look for how to outsource governance to the market or aim to understand how rules provide new grounds for securitization and arbitrage. This resonates with a large body of work across political economy that illustrates how actor backgrounds can lead them to interpret the same set of information in different ways </w:t>
      </w:r>
      <w:r w:rsidRPr="003A37FF">
        <w:fldChar w:fldCharType="begin"/>
      </w:r>
      <w:r w:rsidRPr="003A37FF">
        <w:instrText xml:space="preserve"> ADDIN ZOTERO_ITEM CSL_CITATION {"citationID":"a1le0gkbn17","properties":{"formattedCitation":"(McNamara 1998; Ban, Seabrooke, and Freitas 2016)","plainCitation":"(McNamara 1998; Ban, Seabrooke, and Freitas 2016)","noteIndex":0},"citationItems":[{"id":740,"uris":["http://zotero.org/users/local/oXQBh7r1/items/52FTN3EN"],"uri":["http://zotero.org/users/local/oXQBh7r1/items/52FTN3EN"],"itemData":{"id":740,"type":"book","publisher":"Cambridge Univ Press","source":"Google Scholar","title":"The currency of ideas: monetary politics in the European Union","title-short":"The currency of ideas","URL":"http://journals.cambridge.org/production/action/cjoGetFulltext?fulltextid=6258388","author":[{"family":"McNamara","given":"Kathleen R."}],"accessed":{"date-parts":[["2016",3,16]]},"issued":{"date-parts":[["1998"]]}}},{"id":2702,"uris":["http://zotero.org/users/local/oXQBh7r1/items/C5KWK2F5"],"uri":["http://zotero.org/users/local/oXQBh7r1/items/C5KWK2F5"],"itemData":{"id":2702,"type":"article-journal","container-title":"Review of International Political Economy","DOI":"10.1080/09692290.2016.1235599","ISSN":"0969-2290, 1466-4526","issue":"6","language":"en","page":"1001-1033","source":"CrossRef","title":"Grey matter in shadow banking: international organizations and expert strategies in global financial governance","title-short":"Grey matter in shadow banking","volume":"23","author":[{"family":"Ban","given":"Cornel"},{"family":"Seabrooke","given":"Leonard"},{"family":"Freitas","given":"Sarah"}],"issued":{"date-parts":[["2016",11]]}}}],"schema":"https://github.com/citation-style-language/schema/raw/master/csl-citation.json"} </w:instrText>
      </w:r>
      <w:r w:rsidRPr="003A37FF">
        <w:fldChar w:fldCharType="separate"/>
      </w:r>
      <w:r w:rsidRPr="003A37FF">
        <w:t>(McNamara 1998; Ban, Seabrooke, and Freitas 2016)</w:t>
      </w:r>
      <w:r w:rsidRPr="003A37FF">
        <w:fldChar w:fldCharType="end"/>
      </w:r>
      <w:r w:rsidRPr="003A37FF">
        <w:t xml:space="preserve">. We argue, then, that the use and practice of international regimes may shift as actors from an </w:t>
      </w:r>
      <w:r w:rsidRPr="003A37FF">
        <w:rPr>
          <w:i/>
        </w:rPr>
        <w:t>outside</w:t>
      </w:r>
      <w:r w:rsidRPr="003A37FF">
        <w:t xml:space="preserve"> field begin to interact with the constitutive institutions.</w:t>
      </w:r>
    </w:p>
    <w:p w14:paraId="652609FA" w14:textId="79C7DDA9" w:rsidR="00A46DAD" w:rsidRPr="003A37FF" w:rsidRDefault="00A46DAD" w:rsidP="00C82FEC">
      <w:pPr>
        <w:spacing w:line="480" w:lineRule="auto"/>
        <w:ind w:firstLine="720"/>
      </w:pPr>
      <w:r w:rsidRPr="003A37FF">
        <w:t xml:space="preserve">Given the interdependence of economic activity today, actors from analytically distinct fields may interact. Sometimes such interaction is forced due to crisis but more often interaction </w:t>
      </w:r>
      <w:r w:rsidRPr="003A37FF">
        <w:lastRenderedPageBreak/>
        <w:t xml:space="preserve">occurs by choice due to how behavior in one economic realm reshapes resources in other domains </w:t>
      </w:r>
      <w:r w:rsidRPr="003A37FF">
        <w:fldChar w:fldCharType="begin"/>
      </w:r>
      <w:r w:rsidRPr="003A37FF">
        <w:instrText xml:space="preserve"> ADDIN ZOTERO_ITEM CSL_CITATION {"citationID":"aqd649efl5","properties":{"formattedCitation":"(Furnari 2016)","plainCitation":"(Furnari 2016)","noteIndex":0},"citationItems":[{"id":5767,"uris":["http://zotero.org/users/local/oXQBh7r1/items/SNBZ59NA"],"uri":["http://zotero.org/users/local/oXQBh7r1/items/SNBZ59NA"],"itemData":{"id":5767,"type":"article-journal","abstract":"Theories of institutional change have paid limited attention to the ways in which relations between institutional fields might facilitate or hinder institutional change. I introduce inter-field resource dependence as an important condition explaining institutional change between fields. Building on resource dependence theory, I conceptualize two dimensions of inter-field resource dependence: mutual dependence and power imbalance. I argue that these two dimensions have opposite effects on the likelihood of institutional change between fields. Mutual dependence between two fields increases the chances of institutional change by inducing actors in both the fields to work at creating new shared institutions in order to regulate their mutual dependence. Power imbalance between two fields decreases the chances of institutional change by inducing actors in the dominant field to work at maintaining existing institutions in order to preserve their power. Thus, different types of inter-field resource dependence motivate actors to undertake different forms of institutional work, which in turn shape the likelihood of institutional change between fields. Developing this core argument, I theorize that whether the institutional change occurring between two fields is radical or incremental is a function of the type of resource dependence linking the two fields; for example, when power imbalance is high, institutional change is unlikely but when it occurs it tends to be radical.","container-title":"Human Relations","DOI":"10.1177/0018726715605555","ISSN":"0018-7267, 1741-282X","issue":"3","journalAbbreviation":"Human Relations","language":"en","page":"551-580","source":"DOI.org (Crossref)","title":"Institutional fields as linked arenas: Inter-field resource dependence, institutional work and institutional change","title-short":"Institutional fields as linked arenas","volume":"69","author":[{"family":"Furnari","given":"Santi"}],"issued":{"date-parts":[["2016",3]]}}}],"schema":"https://github.com/citation-style-language/schema/raw/master/csl-citation.json"} </w:instrText>
      </w:r>
      <w:r w:rsidRPr="003A37FF">
        <w:fldChar w:fldCharType="separate"/>
      </w:r>
      <w:r w:rsidRPr="003A37FF">
        <w:t>(Furnari 2016)</w:t>
      </w:r>
      <w:r w:rsidRPr="003A37FF">
        <w:fldChar w:fldCharType="end"/>
      </w:r>
      <w:r w:rsidRPr="003A37FF">
        <w:t xml:space="preserve">. For example, regulators of international securities firms coordinate with banking professionals that may lie outside their traditional governance regime due to the ways investments banks have altered their business practices over the past three decades </w:t>
      </w:r>
      <w:r w:rsidRPr="003A37FF">
        <w:fldChar w:fldCharType="begin"/>
      </w:r>
      <w:r w:rsidRPr="003A37FF">
        <w:instrText xml:space="preserve"> ADDIN ZOTERO_ITEM CSL_CITATION {"citationID":"Iow0I4fO","properties":{"formattedCitation":"(Newman and Posner 2018)","plainCitation":"(Newman and Posner 2018)","noteIndex":0},"citationItems":[{"id":4081,"uris":["http://zotero.org/users/local/oXQBh7r1/items/Z6GZ36QM"],"uri":["http://zotero.org/users/local/oXQBh7r1/items/Z6GZ36QM"],"itemData":{"id":4081,"type":"book","publisher":"Oxford University Press","source":"Google Scholar","title":"Voluntary Disruptions: International Soft Law, Finance, and Power","title-short":"Voluntary Disruptions","author":[{"family":"Newman","given":"Abraham L."},{"family":"Posner","given":"Elliot"}],"issued":{"date-parts":[["2018"]]}}}],"schema":"https://github.com/citation-style-language/schema/raw/master/csl-citation.json"} </w:instrText>
      </w:r>
      <w:r w:rsidRPr="003A37FF">
        <w:fldChar w:fldCharType="separate"/>
      </w:r>
      <w:r w:rsidRPr="003A37FF">
        <w:rPr>
          <w:noProof/>
        </w:rPr>
        <w:t>(Newman and Posner 2018)</w:t>
      </w:r>
      <w:r w:rsidRPr="003A37FF">
        <w:fldChar w:fldCharType="end"/>
      </w:r>
      <w:r w:rsidRPr="003A37FF">
        <w:t xml:space="preserve">. Environmental regulators regularly cooperate with private authorities that set rules around electronics as the latter’s production has spillover effects for a host of sectors </w:t>
      </w:r>
      <w:r w:rsidRPr="003A37FF">
        <w:fldChar w:fldCharType="begin"/>
      </w:r>
      <w:r w:rsidRPr="003A37FF">
        <w:instrText xml:space="preserve"> ADDIN ZOTERO_ITEM CSL_CITATION {"citationID":"kjPTcE7C","properties":{"formattedCitation":"(Green 2013)","plainCitation":"(Green 2013)","noteIndex":0},"citationItems":[{"id":808,"uris":["http://zotero.org/users/local/oXQBh7r1/items/GMDCGFF5"],"uri":["http://zotero.org/users/local/oXQBh7r1/items/GMDCGFF5"],"itemData":{"id":808,"type":"book","publisher":"Princeton University Press","source":"Google Scholar","title":"Rethinking private authority: Agents and entrepreneurs in global environmental governance","title-short":"Rethinking private authority","URL":"https://books.google.com/books?hl=en&amp;lr=&amp;id=RaX3AAAAQBAJ&amp;oi=fnd&amp;pg=PP1&amp;dq=green+2013+authority&amp;ots=oHROvdU8Qq&amp;sig=yxN-nySJBSv1vygc3Uc_OsH35pk","author":[{"family":"Green","given":"Jessica F."}],"accessed":{"date-parts":[["2016",6,9]]},"issued":{"date-parts":[["2013"]]}}}],"schema":"https://github.com/citation-style-language/schema/raw/master/csl-citation.json"} </w:instrText>
      </w:r>
      <w:r w:rsidRPr="003A37FF">
        <w:fldChar w:fldCharType="separate"/>
      </w:r>
      <w:r w:rsidRPr="003A37FF">
        <w:rPr>
          <w:noProof/>
        </w:rPr>
        <w:t>(Green 2013)</w:t>
      </w:r>
      <w:r w:rsidRPr="003A37FF">
        <w:fldChar w:fldCharType="end"/>
      </w:r>
      <w:r w:rsidRPr="003A37FF">
        <w:t xml:space="preserve">. Policymakers, be they experts on trade or investment, work in the same professional networks including the same corporate firms or in the same International Organization host city. This creates brokerage opportunities for them to graft their practices on to another field and expand their professional jurisdiction </w:t>
      </w:r>
      <w:r w:rsidRPr="003A37FF">
        <w:fldChar w:fldCharType="begin"/>
      </w:r>
      <w:r w:rsidRPr="003A37FF">
        <w:instrText xml:space="preserve"> ADDIN ZOTERO_ITEM CSL_CITATION {"citationID":"OK5y1y6B","properties":{"formattedCitation":"(Evans and Kay 2008)","plainCitation":"(Evans and Kay 2008)","noteIndex":0},"citationItems":[{"id":4209,"uris":["http://zotero.org/users/local/oXQBh7r1/items/IAE92SZ5"],"uri":["http://zotero.org/users/local/oXQBh7r1/items/IAE92SZ5"],"itemData":{"id":4209,"type":"article-journal","container-title":"American Sociological Review","issue":"6","page":"970–991","source":"Google Scholar","title":"How environmentalists “greened” trade policy: Strategic action and the architecture of field overlap","title-short":"How environmentalists “greened” trade policy","volume":"73","author":[{"family":"Evans","given":"Rhonda"},{"family":"Kay","given":"Tamara"}],"issued":{"date-parts":[["2008"]]}}}],"schema":"https://github.com/citation-style-language/schema/raw/master/csl-citation.json"} </w:instrText>
      </w:r>
      <w:r w:rsidRPr="003A37FF">
        <w:fldChar w:fldCharType="separate"/>
      </w:r>
      <w:r w:rsidRPr="003A37FF">
        <w:rPr>
          <w:noProof/>
        </w:rPr>
        <w:t>(Evans and Kay 2008)</w:t>
      </w:r>
      <w:r w:rsidRPr="003A37FF">
        <w:fldChar w:fldCharType="end"/>
      </w:r>
      <w:r w:rsidRPr="003A37FF">
        <w:t xml:space="preserve">. The entrance of actors with a different field background, and view on the role of rules and norms, can then act as a pathway for international institutional change.  </w:t>
      </w:r>
    </w:p>
    <w:p w14:paraId="54CA8FE4" w14:textId="385D60FC" w:rsidR="00A46DAD" w:rsidRPr="003A37FF" w:rsidRDefault="00A46DAD" w:rsidP="00C82FEC">
      <w:pPr>
        <w:spacing w:line="480" w:lineRule="auto"/>
      </w:pPr>
      <w:r w:rsidRPr="003A37FF">
        <w:tab/>
        <w:t xml:space="preserve">In other words, regimes are often more embedded in broader social fields than is typically theorized, creating the space for actors from distinct fields to learn from and create coalitions with actors that span them </w:t>
      </w:r>
      <w:r w:rsidRPr="003A37FF">
        <w:fldChar w:fldCharType="begin"/>
      </w:r>
      <w:r w:rsidRPr="003A37FF">
        <w:instrText xml:space="preserve"> ADDIN ZOTERO_ITEM CSL_CITATION {"citationID":"6sBBak9l","properties":{"formattedCitation":"(Seabrooke and Tsingou 2009)","plainCitation":"(Seabrooke and Tsingou 2009)","noteIndex":0},"citationItems":[{"id":802,"uris":["http://zotero.org/users/local/oXQBh7r1/items/PJV764BR"],"uri":["http://zotero.org/users/local/oXQBh7r1/items/PJV764BR"],"itemData":{"id":802,"type":"article-journal","source":"Google Scholar","title":"Revolving doors and linked ecologies in the world economy: policy locations and the practice of international financial reform","title-short":"Revolving doors and linked ecologies in the world economy","URL":"http://wrap.warwick.ac.uk/1849","author":[{"family":"Seabrooke","given":"Leonard"},{"family":"Tsingou","given":"Eleni"}],"accessed":{"date-parts":[["2016",4,6]]},"issued":{"date-parts":[["2009"]]}}}],"schema":"https://github.com/citation-style-language/schema/raw/master/csl-citation.json"} </w:instrText>
      </w:r>
      <w:r w:rsidRPr="003A37FF">
        <w:fldChar w:fldCharType="separate"/>
      </w:r>
      <w:r w:rsidRPr="003A37FF">
        <w:rPr>
          <w:noProof/>
        </w:rPr>
        <w:t>(Seabrooke and Tsingou 2009)</w:t>
      </w:r>
      <w:r w:rsidRPr="003A37FF">
        <w:fldChar w:fldCharType="end"/>
      </w:r>
      <w:r w:rsidRPr="003A37FF">
        <w:t xml:space="preserve">. These interactions have the potential to change regime function as “foreign” actors, when analyzing a problem in the targeted regime, respond by using their own toolkit to reinterpret rather than simply follow the rules. They import their dominant norms and graft the practices from their field on to the target governance institutions. </w:t>
      </w:r>
    </w:p>
    <w:p w14:paraId="5EE5FFC0" w14:textId="715E6D20" w:rsidR="00A46DAD" w:rsidRPr="003A37FF" w:rsidRDefault="00A46DAD" w:rsidP="00D17778">
      <w:pPr>
        <w:spacing w:line="480" w:lineRule="auto"/>
        <w:ind w:firstLine="720"/>
      </w:pPr>
      <w:r w:rsidRPr="003A37FF">
        <w:t xml:space="preserve">But this grafting cannot occur wholesale. The target regime has its own norms and practices. The foreigners will require local collaborators because whether or not the ideas and practices are localized will depend on how they resonate with internal practices. As scholarship on the sociology of translation has shown, new practices need to be edited to fit the local field’s </w:t>
      </w:r>
      <w:r w:rsidRPr="003A37FF">
        <w:lastRenderedPageBreak/>
        <w:t xml:space="preserve">context, particularly in a fashion that compliments the identities and material interests of dominant actors in the target regime </w:t>
      </w:r>
      <w:r w:rsidRPr="003A37FF">
        <w:fldChar w:fldCharType="begin"/>
      </w:r>
      <w:r w:rsidRPr="003A37FF">
        <w:instrText xml:space="preserve"> ADDIN ZOTERO_ITEM CSL_CITATION {"citationID":"a26hata66r6","properties":{"formattedCitation":"(Sahlin and Wedlin 2008; Djelic and Sahlin-Andersson 2006)","plainCitation":"(Sahlin and Wedlin 2008; Djelic and Sahlin-Andersson 2006)","noteIndex":0},"citationItems":[{"id":5789,"uris":["http://zotero.org/users/local/oXQBh7r1/items/9J5SKG9D"],"uri":["http://zotero.org/users/local/oXQBh7r1/items/9J5SKG9D"],"itemData":{"id":5789,"type":"article-journal","container-title":"The Sage handbook of organizational institutionalism","page":"242","source":"Google Scholar","title":"Circulating ideas: Imitation, translation and editing","title-short":"Circulating ideas","volume":"218","author":[{"family":"Sahlin","given":"Kerstin"},{"family":"Wedlin","given":"Linda"}],"issued":{"date-parts":[["2008"]]}}},{"id":5786,"uris":["http://zotero.org/users/local/oXQBh7r1/items/UMNX42YR"],"uri":["http://zotero.org/users/local/oXQBh7r1/items/UMNX42YR"],"itemData":{"id":5786,"type":"chapter","container-title":"Transnational Governance","event-place":"Cambridge","ISBN":"978-0-511-48866-5","language":"en","note":"DOI: 10.1017/CBO9780511488665.001","page":"xix-xxii","publisher":"Cambridge University Press","publisher-place":"Cambridge","source":"DOI.org (Crossref)","title":"List of acronyms","URL":"https://www.cambridge.org/core/product/identifier/CBO9780511488665A010/type/book_part","editor":[{"family":"Djelic","given":"Marie-Laure"},{"family":"Sahlin-Andersson","given":"Kerstin"}],"accessed":{"date-parts":[["2020",5,20]]},"issued":{"date-parts":[["2006"]]}}}],"schema":"https://github.com/citation-style-language/schema/raw/master/csl-citation.json"} </w:instrText>
      </w:r>
      <w:r w:rsidRPr="003A37FF">
        <w:fldChar w:fldCharType="separate"/>
      </w:r>
      <w:r w:rsidRPr="003A37FF">
        <w:t>(Sahlin and Wedlin 2008; Djelic and Sahlin-Andersson 2006)</w:t>
      </w:r>
      <w:r w:rsidRPr="003A37FF">
        <w:fldChar w:fldCharType="end"/>
      </w:r>
      <w:r w:rsidRPr="003A37FF">
        <w:t xml:space="preserve">. Translating or grafting will be more effective when local actors are already familiar with the fundamental contours of an idea or practice </w:t>
      </w:r>
      <w:r w:rsidRPr="003A37FF">
        <w:fldChar w:fldCharType="begin"/>
      </w:r>
      <w:r w:rsidRPr="003A37FF">
        <w:instrText xml:space="preserve"> ADDIN ZOTERO_ITEM CSL_CITATION {"citationID":"anloq7tnol","properties":{"formattedCitation":"(Acharya 2004; Ban 2016)","plainCitation":"(Acharya 2004; Ban 2016)","noteIndex":0},"citationItems":[{"id":5782,"uris":["http://zotero.org/users/local/oXQBh7r1/items/Q5PAQEUG"],"uri":["http://zotero.org/users/local/oXQBh7r1/items/Q5PAQEUG"],"itemData":{"id":5782,"type":"article-journal","abstract":"Questions about norm diffusion in world politics are not simply abou whether and how ideas matter, but also which and whose ideas matter. Constructivist scholarship on norms tends to focus on \"hard\" cases of moral transformation in whic \"good\" global norms prevail over the \"bad\" local beliefs and practices. But man local beliefs are themselves part of a legitimate normative order, which condition the acceptance of foreign norms. Going beyond an existential notion of congruenc this article proposes a dynamic explanation of norm diffusion that describes how local agents reconstruct foreign norms to ensure the norms fit with the agents' cognitive priors and identities. Congruence building thus becomes key to acceptance Localization, not wholesale acceptance or rejection, settles most cases of normative contestation. Comparing the impact of two transnational norms on the As sociation of Southeast Asian Nations (ASEAN), this article shows that the variatio in the norms' acceptance, indicated by the changes they produced in the goals an institutional apparatuses of the regional group, could be explained by the differentia ability of local agents to reconstruct the norms to ensure a better fit with prior loc norms, and the potential of the localized norm to enhance the appeal of some of thei prior beliefs and institutions.","container-title":"International Organization","DOI":"10.1017/S0020818304582024","ISSN":"0020-8183, 1531-5088","issue":"02","journalAbbreviation":"Int. Org.","language":"en","source":"DOI.org (Crossref)","title":"How Ideas Spread: Whose Norms Matter? Norm Localization and Institutional Change in Asian Regionalism","title-short":"How Ideas Spread","URL":"http://www.journals.cambridge.org/abstract_S0020818304582024","volume":"58","author":[{"family":"Acharya","given":"Amitav"}],"accessed":{"date-parts":[["2020",5,20]]},"issued":{"date-parts":[["2004",4]]}}},{"id":1364,"uris":["http://zotero.org/users/local/oXQBh7r1/items/G38UQCPB"],"uri":["http://zotero.org/users/local/oXQBh7r1/items/G38UQCPB"],"itemData":{"id":1364,"type":"book","publisher":"Oxford University Press","source":"Google Scholar","title":"Ruling Ideas: How Global Neoliberalism Goes Local","title-short":"Ruling Ideas","URL":"https://books.google.com/books?hl=en&amp;lr=&amp;id=VMcwDAAAQBAJ&amp;oi=fnd&amp;pg=PP1&amp;dq=ban+2016+ideas&amp;ots=XSdzkFCx_o&amp;sig=sVxS4Xi4wCF9W3quT8cz674VF88","author":[{"family":"Ban","given":"Cornel"}],"accessed":{"date-parts":[["2017",1,7]]},"issued":{"date-parts":[["2016"]]}}}],"schema":"https://github.com/citation-style-language/schema/raw/master/csl-citation.json"} </w:instrText>
      </w:r>
      <w:r w:rsidRPr="003A37FF">
        <w:fldChar w:fldCharType="separate"/>
      </w:r>
      <w:r w:rsidRPr="003A37FF">
        <w:t>(Acharya 2004; Ban 2016)</w:t>
      </w:r>
      <w:r w:rsidRPr="003A37FF">
        <w:fldChar w:fldCharType="end"/>
      </w:r>
      <w:r w:rsidRPr="003A37FF">
        <w:t xml:space="preserve">. As Ban </w:t>
      </w:r>
      <w:r w:rsidRPr="003A37FF">
        <w:fldChar w:fldCharType="begin"/>
      </w:r>
      <w:r w:rsidRPr="003A37FF">
        <w:instrText xml:space="preserve"> ADDIN ZOTERO_ITEM CSL_CITATION {"citationID":"a10npvmds66","properties":{"formattedCitation":"(2016)","plainCitation":"(2016)","noteIndex":0},"citationItems":[{"id":1364,"uris":["http://zotero.org/users/local/oXQBh7r1/items/G38UQCPB"],"uri":["http://zotero.org/users/local/oXQBh7r1/items/G38UQCPB"],"itemData":{"id":1364,"type":"book","publisher":"Oxford University Press","source":"Google Scholar","title":"Ruling Ideas: How Global Neoliberalism Goes Local","title-short":"Ruling Ideas","URL":"https://books.google.com/books?hl=en&amp;lr=&amp;id=VMcwDAAAQBAJ&amp;oi=fnd&amp;pg=PP1&amp;dq=ban+2016+ideas&amp;ots=XSdzkFCx_o&amp;sig=sVxS4Xi4wCF9W3quT8cz674VF88","author":[{"family":"Ban","given":"Cornel"}],"accessed":{"date-parts":[["2017",1,7]]},"issued":{"date-parts":[["2016"]]}},"suppress-author":true}],"schema":"https://github.com/citation-style-language/schema/raw/master/csl-citation.json"} </w:instrText>
      </w:r>
      <w:r w:rsidRPr="003A37FF">
        <w:fldChar w:fldCharType="separate"/>
      </w:r>
      <w:r w:rsidRPr="003A37FF">
        <w:t>(2016)</w:t>
      </w:r>
      <w:r w:rsidRPr="003A37FF">
        <w:fldChar w:fldCharType="end"/>
      </w:r>
      <w:r w:rsidRPr="003A37FF">
        <w:t xml:space="preserve"> has shown, examining the localization of neoliberal ideas, such reinterpretation inevitably results in variations in how the same practice or idea is implemented across different political contexts. </w:t>
      </w:r>
    </w:p>
    <w:p w14:paraId="2E58BD55" w14:textId="2F5862EB" w:rsidR="00A46DAD" w:rsidRPr="003A37FF" w:rsidRDefault="00A46DAD" w:rsidP="00C82FEC">
      <w:pPr>
        <w:spacing w:line="480" w:lineRule="auto"/>
        <w:ind w:firstLine="720"/>
      </w:pPr>
      <w:r w:rsidRPr="003A37FF">
        <w:t xml:space="preserve">We expect that actors are generally in search of expansion opportunities as they are looking for ways to increase their status, control and economic potential across fields that are linked to their core home field. We draw on a variety of complementary sociology literatures to identify conditions when this is likely to be most successful. </w:t>
      </w:r>
    </w:p>
    <w:p w14:paraId="1D641F34" w14:textId="0FE6EA68" w:rsidR="00A46DAD" w:rsidRPr="003A37FF" w:rsidRDefault="00A46DAD" w:rsidP="00C82FEC">
      <w:pPr>
        <w:spacing w:line="480" w:lineRule="auto"/>
        <w:ind w:firstLine="720"/>
      </w:pPr>
      <w:r w:rsidRPr="003A37FF">
        <w:t xml:space="preserve">First, in line with work by Abbott </w:t>
      </w:r>
      <w:r w:rsidRPr="003A37FF">
        <w:fldChar w:fldCharType="begin"/>
      </w:r>
      <w:r w:rsidRPr="003A37FF">
        <w:instrText xml:space="preserve"> ADDIN ZOTERO_ITEM CSL_CITATION {"citationID":"NuotjDhL","properties":{"formattedCitation":"(2005)","plainCitation":"(2005)","noteIndex":0},"citationItems":[{"id":4171,"uris":["http://zotero.org/users/local/oXQBh7r1/items/CMDJSMBD"],"uri":["http://zotero.org/users/local/oXQBh7r1/items/CMDJSMBD"],"itemData":{"id":4171,"type":"article-journal","container-title":"Sociological theory","issue":"3","page":"245–274","source":"Google Scholar","title":"Linked ecologies: States and universities as environments for professions","title-short":"Linked ecologies","volume":"23","author":[{"family":"Abbott","given":"Andrew"}],"issued":{"date-parts":[["2005"]]}},"suppress-author":true}],"schema":"https://github.com/citation-style-language/schema/raw/master/csl-citation.json"} </w:instrText>
      </w:r>
      <w:r w:rsidRPr="003A37FF">
        <w:fldChar w:fldCharType="separate"/>
      </w:r>
      <w:r w:rsidRPr="003A37FF">
        <w:rPr>
          <w:noProof/>
        </w:rPr>
        <w:t>(2005)</w:t>
      </w:r>
      <w:r w:rsidRPr="003A37FF">
        <w:fldChar w:fldCharType="end"/>
      </w:r>
      <w:r w:rsidRPr="003A37FF">
        <w:t xml:space="preserve"> on linked ecologies, we expect that institutional change will be more likely when actors from different fields are able to find opportunities that benefit both groups and will then create a coalition to lobby for change. Linked interests allow “foreign” actors to combine resources and use the expertise of their local collaborators from the regime they are trying to change as the basis for their political power. In the absence of such a coalition, actors from outside the field will have to pay huge startup costs to even understand the formal and informal status quo, leaving them with limited opportunities to exploit or alter the target governance institutions. Part of why regimes are generally stable is precisely because they involve specialized, hard to absorb skills and field specific capital. Actors with different preferences are rarely able to venture in and alter the logics of the regime in the absence of a cross-field coalition. </w:t>
      </w:r>
    </w:p>
    <w:p w14:paraId="250DBFA5" w14:textId="3E66ACC4" w:rsidR="00A46DAD" w:rsidRPr="003A37FF" w:rsidRDefault="00A46DAD" w:rsidP="00C82FEC">
      <w:pPr>
        <w:spacing w:line="480" w:lineRule="auto"/>
        <w:ind w:firstLine="720"/>
      </w:pPr>
      <w:r w:rsidRPr="003A37FF">
        <w:t xml:space="preserve">Second, coalitions will be more likely to form when the players from outside the targeted regime are already powerful players in their home field </w:t>
      </w:r>
      <w:r w:rsidRPr="003A37FF">
        <w:fldChar w:fldCharType="begin"/>
      </w:r>
      <w:r w:rsidRPr="003A37FF">
        <w:instrText xml:space="preserve"> ADDIN ZOTERO_ITEM CSL_CITATION {"citationID":"fsnTa0Fa","properties":{"formattedCitation":"(Abbott 2005)","plainCitation":"(Abbott 2005)","noteIndex":0},"citationItems":[{"id":4171,"uris":["http://zotero.org/users/local/oXQBh7r1/items/CMDJSMBD"],"uri":["http://zotero.org/users/local/oXQBh7r1/items/CMDJSMBD"],"itemData":{"id":4171,"type":"article-journal","container-title":"Sociological theory","issue":"3","page":"245–274","source":"Google Scholar","title":"Linked ecologies: States and universities as environments for professions","title-short":"Linked ecologies","volume":"23","author":[{"family":"Abbott","given":"Andrew"}],"issued":{"date-parts":[["2005"]]}}}],"schema":"https://github.com/citation-style-language/schema/raw/master/csl-citation.json"} </w:instrText>
      </w:r>
      <w:r w:rsidRPr="003A37FF">
        <w:fldChar w:fldCharType="separate"/>
      </w:r>
      <w:r w:rsidRPr="003A37FF">
        <w:rPr>
          <w:noProof/>
        </w:rPr>
        <w:t>(Abbott 2005)</w:t>
      </w:r>
      <w:r w:rsidRPr="003A37FF">
        <w:fldChar w:fldCharType="end"/>
      </w:r>
      <w:r w:rsidRPr="003A37FF">
        <w:t xml:space="preserve">. One can have all the </w:t>
      </w:r>
      <w:r w:rsidRPr="003A37FF">
        <w:lastRenderedPageBreak/>
        <w:t xml:space="preserve">expertise and ideas about how to change a governance institution for someone’s benefit but if you are going to free ride through the change process, your potential collaborator is unlikely to want to join forces. Then, altering a potentially complementary regime is likely only an option for players that have already marshalled their own resources and proven themselves as actors capable of doing future institutional work. The ability to provide strategic resources to the local actors is essential because it will facilitate the translation process.  </w:t>
      </w:r>
    </w:p>
    <w:p w14:paraId="1B7DE7CC" w14:textId="76218445" w:rsidR="00A46DAD" w:rsidRPr="003A37FF" w:rsidRDefault="00A46DAD" w:rsidP="00C82FEC">
      <w:pPr>
        <w:spacing w:line="480" w:lineRule="auto"/>
        <w:ind w:firstLine="720"/>
      </w:pPr>
      <w:r w:rsidRPr="003A37FF">
        <w:t xml:space="preserve">Finally, these coalitions are likely to form when a field is in crisis and the need for new professional opportunities is acute </w:t>
      </w:r>
      <w:r w:rsidRPr="003A37FF">
        <w:fldChar w:fldCharType="begin"/>
      </w:r>
      <w:r w:rsidRPr="003A37FF">
        <w:instrText xml:space="preserve"> ADDIN ZOTERO_ITEM CSL_CITATION {"citationID":"M2FAKspn","properties":{"formattedCitation":"(Fligstein and McAdam 2012)","plainCitation":"(Fligstein and McAdam 2012)","noteIndex":0},"citationItems":[{"id":1209,"uris":["http://zotero.org/users/local/oXQBh7r1/items/EJ3HUVFE"],"uri":["http://zotero.org/users/local/oXQBh7r1/items/EJ3HUVFE"],"itemData":{"id":1209,"type":"book","publisher":"Oxford University Press","source":"Google Scholar","title":"A theory of fields","URL":"https://books.google.com/books?hl=en&amp;lr=&amp;id=7uFoAgAAQBAJ&amp;oi=fnd&amp;pg=PP1&amp;dq=fligstein+fields&amp;ots=y9l_x8irpe&amp;sig=1sXoMqjG30Nxlfz8JPo3k-SwpfY","author":[{"family":"Fligstein","given":"Neil"},{"family":"McAdam","given":"Doug"}],"accessed":{"date-parts":[["2016",7,4]]},"issued":{"date-parts":[["2012"]]}}}],"schema":"https://github.com/citation-style-language/schema/raw/master/csl-citation.json"} </w:instrText>
      </w:r>
      <w:r w:rsidRPr="003A37FF">
        <w:fldChar w:fldCharType="separate"/>
      </w:r>
      <w:r w:rsidRPr="003A37FF">
        <w:rPr>
          <w:noProof/>
        </w:rPr>
        <w:t>(Fligstein and McAdam 2012)</w:t>
      </w:r>
      <w:r w:rsidRPr="003A37FF">
        <w:fldChar w:fldCharType="end"/>
      </w:r>
      <w:r w:rsidRPr="003A37FF">
        <w:t xml:space="preserve">. When times are good, professionals are focused on finding ways within the field to maximize their territory in fear that others may take over the institution. But a loss of status or profits pushes actors in a field to look beyond their status quo for new opportunities to compensate for the crisis induced change. While numerous scholars argue that an exogenous shock can produce institutional change, our expectation is that shocks in neighboring, linked fields are likely to bring about regime change.  </w:t>
      </w:r>
    </w:p>
    <w:p w14:paraId="7A2B12D3" w14:textId="5DCBD8F6" w:rsidR="00A46DAD" w:rsidRPr="003A37FF" w:rsidRDefault="00A46DAD" w:rsidP="00583949">
      <w:pPr>
        <w:spacing w:line="480" w:lineRule="auto"/>
      </w:pPr>
      <w:r w:rsidRPr="003A37FF">
        <w:tab/>
        <w:t xml:space="preserve">As the goal of the paper is theory development we conduct an initial plausibility probe of its usefulness, examining how a cross-field account can explain why the international investment regime has financialized. To clarify, our theoretical outcome of interest is regime change, while our empirical outcome of interest is financialization. Macro theoretical approaches to international regime change broadly align with mid-range approaches that seek to account for financialization. The development of new technologies has the ability to upset the status quo by increasing international interdependence </w:t>
      </w:r>
      <w:r w:rsidRPr="003A37FF">
        <w:fldChar w:fldCharType="begin"/>
      </w:r>
      <w:r w:rsidRPr="003A37FF">
        <w:instrText xml:space="preserve"> ADDIN ZOTERO_ITEM CSL_CITATION {"citationID":"a156i6vk48m","properties":{"formattedCitation":"(Cerny 1994; Garrett 2000)","plainCitation":"(Cerny 1994; Garrett 2000)","noteIndex":0},"citationItems":[{"id":6763,"uris":["http://zotero.org/users/local/oXQBh7r1/items/UYYSZE6F"],"uri":["http://zotero.org/users/local/oXQBh7r1/items/UYYSZE6F"],"itemData":{"id":6763,"type":"article-journal","container-title":"Policy sciences","issue":"4","note":"publisher: Springer","page":"319–342","source":"Google Scholar","title":"The dynamics of financial globalization: Technology, market structure, and policy response","title-short":"The dynamics of financial globalization","volume":"27","author":[{"family":"Cerny","given":"Philip G."}],"issued":{"date-parts":[["1994"]]}}},{"id":6760,"uris":["http://zotero.org/users/local/oXQBh7r1/items/G5EST98M"],"uri":["http://zotero.org/users/local/oXQBh7r1/items/G5EST98M"],"itemData":{"id":6760,"type":"article-journal","container-title":"Comparative political studies","issue":"6-7","note":"publisher: Sage Publications Sage CA: Thousand Oaks, CA","page":"941–991","source":"Google Scholar","title":"The causes of globalization","volume":"33","author":[{"family":"Garrett","given":"Geoffrey"}],"issued":{"date-parts":[["2000"]]}}}],"schema":"https://github.com/citation-style-language/schema/raw/master/csl-citation.json"} </w:instrText>
      </w:r>
      <w:r w:rsidRPr="003A37FF">
        <w:fldChar w:fldCharType="separate"/>
      </w:r>
      <w:r w:rsidRPr="003A37FF">
        <w:t>(Cerny 1994; Garrett 2000)</w:t>
      </w:r>
      <w:r w:rsidRPr="003A37FF">
        <w:fldChar w:fldCharType="end"/>
      </w:r>
      <w:r w:rsidRPr="003A37FF">
        <w:t xml:space="preserve">, as we’ve seen in prior financialization accounts. Ideological changes amongst the professional class, usually following a collapse in a regime’s functioning, has led to the development of new institutions </w:t>
      </w:r>
      <w:r w:rsidRPr="003A37FF">
        <w:fldChar w:fldCharType="begin"/>
      </w:r>
      <w:r w:rsidR="00C77ED2">
        <w:instrText xml:space="preserve"> ADDIN ZOTERO_ITEM CSL_CITATION {"citationID":"a219v0kihkt","properties":{"formattedCitation":"(McNamara 1998; N\\uc0\\u246{}lke and Perry 2007)","plainCitation":"(McNamara 1998; Nölke and Perry 2007)","noteIndex":0},"citationItems":[{"id":740,"uris":["http://zotero.org/users/local/oXQBh7r1/items/52FTN3EN"],"uri":["http://zotero.org/users/local/oXQBh7r1/items/52FTN3EN"],"itemData":{"id":740,"type":"book","publisher":"Cambridge Univ Press","source":"Google Scholar","title":"The currency of ideas: monetary politics in the European Union","title-short":"The currency of ideas","URL":"http://journals.cambridge.org/production/action/cjoGetFulltext?fulltextid=6258388","author":[{"family":"McNamara","given":"Kathleen R."}],"accessed":{"date-parts":[["2016",3,16]]},"issued":{"date-parts":[["1998"]]}}},{"id":4177,"uris":["http://zotero.org/users/local/oXQBh7r1/items/BR5CRX55"],"uri":["http://zotero.org/users/local/oXQBh7r1/items/BR5CRX55"],"itemData":{"id":4177,"type":"article-journal","container-title":"Business and Politics","issue":"3","page":"1–25","source":"Google Scholar","title":"The power of transnational private governance: financialization and the IASB","title-short":"The power of transnational private governance","volume":"9","author":[{"family":"Nölke","given":"Andreas"},{"family":"Perry","given":"James"}],"issued":{"date-parts":[["2007"]]}}}],"schema":"https://github.com/citation-style-language/schema/raw/master/csl-citation.json"} </w:instrText>
      </w:r>
      <w:r w:rsidRPr="003A37FF">
        <w:fldChar w:fldCharType="separate"/>
      </w:r>
      <w:r w:rsidR="00C77ED2" w:rsidRPr="00C77ED2">
        <w:t>(McNamara 1998; Nölke and Perry 2007)</w:t>
      </w:r>
      <w:r w:rsidRPr="003A37FF">
        <w:fldChar w:fldCharType="end"/>
      </w:r>
      <w:r w:rsidRPr="003A37FF">
        <w:t xml:space="preserve">. State action, particularly by major powers, is often regarded as the </w:t>
      </w:r>
      <w:r w:rsidRPr="003A37FF">
        <w:lastRenderedPageBreak/>
        <w:t xml:space="preserve">central cause of changes to international regimes, as states try to enforce their own domestic preferences and win distributional conflicts </w:t>
      </w:r>
      <w:r w:rsidRPr="003A37FF">
        <w:fldChar w:fldCharType="begin"/>
      </w:r>
      <w:r w:rsidRPr="003A37FF">
        <w:instrText xml:space="preserve"> ADDIN ZOTERO_ITEM CSL_CITATION {"citationID":"abmii0gfuh","properties":{"formattedCitation":"(Drezner 2008; Kalyanpur and Newman 2019)","plainCitation":"(Drezner 2008; Kalyanpur and Newman 2019)","noteIndex":0},"citationItems":[{"id":91,"uris":["http://zotero.org/users/local/oXQBh7r1/items/X2Q9QJ9V"],"uri":["http://zotero.org/users/local/oXQBh7r1/items/X2Q9QJ9V"],"itemData":{"id":91,"type":"book","event-place":"Princeton, N.J.; Woodstock","ISBN":"978-0-691-09642-1","language":"English","number-of-pages":"256","publisher":"Princeton University Press","publisher-place":"Princeton, N.J.; Woodstock","title":"All Politics Is Global: Explaining International Regulatory Regimes","author":[{"family":"Drezner","given":"Daniel W."}],"issued":{"date-parts":[["2008",9,7]]}}},{"id":4336,"uris":["http://zotero.org/users/local/oXQBh7r1/items/V2EHDH5E"],"uri":["http://zotero.org/users/local/oXQBh7r1/items/V2EHDH5E"],"itemData":{"id":4336,"type":"article-journal","container-title":"International Organization","page":"1–34","source":"Google Scholar","title":"Mobilizing Market Power: Jurisdictional Expansion as Economic Statecraft","title-short":"Mobilizing Market Power","author":[{"family":"Kalyanpur","given":"Nikhil"},{"family":"Newman","given":"Abraham L."}],"issued":{"date-parts":[["2019"]]}}}],"schema":"https://github.com/citation-style-language/schema/raw/master/csl-citation.json"} </w:instrText>
      </w:r>
      <w:r w:rsidRPr="003A37FF">
        <w:fldChar w:fldCharType="separate"/>
      </w:r>
      <w:r w:rsidRPr="003A37FF">
        <w:t>(Drezner 2008; Kalyanpur and Newman 2019)</w:t>
      </w:r>
      <w:r w:rsidRPr="003A37FF">
        <w:fldChar w:fldCharType="end"/>
      </w:r>
      <w:r w:rsidRPr="003A37FF">
        <w:t>.  To enhance the assessment of our approach’s value, we then contrast our argument with standard accounts of regime change in the literature (Table 1).</w:t>
      </w:r>
    </w:p>
    <w:p w14:paraId="478AB621" w14:textId="2D388C09" w:rsidR="00A46DAD" w:rsidRPr="003A37FF" w:rsidRDefault="00A46DAD" w:rsidP="000801F8">
      <w:pPr>
        <w:sectPr w:rsidR="00A46DAD" w:rsidRPr="003A37FF" w:rsidSect="00864568">
          <w:footerReference w:type="even" r:id="rId10"/>
          <w:footerReference w:type="default" r:id="rId11"/>
          <w:pgSz w:w="12240" w:h="15840"/>
          <w:pgMar w:top="1440" w:right="1440" w:bottom="1440" w:left="1440" w:header="720" w:footer="720" w:gutter="0"/>
          <w:pgNumType w:start="0"/>
          <w:cols w:space="720"/>
          <w:titlePg/>
          <w:docGrid w:linePitch="360"/>
        </w:sectPr>
      </w:pPr>
    </w:p>
    <w:p w14:paraId="236E155A" w14:textId="3BE7D2B1" w:rsidR="00A46DAD" w:rsidRPr="003A37FF" w:rsidRDefault="00A46DAD" w:rsidP="00812EDF"/>
    <w:tbl>
      <w:tblPr>
        <w:tblStyle w:val="TableGrid"/>
        <w:tblW w:w="14760" w:type="dxa"/>
        <w:tblInd w:w="-810"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430"/>
        <w:gridCol w:w="1640"/>
        <w:gridCol w:w="1870"/>
        <w:gridCol w:w="1890"/>
        <w:gridCol w:w="2520"/>
        <w:gridCol w:w="4410"/>
      </w:tblGrid>
      <w:tr w:rsidR="00A46DAD" w:rsidRPr="003A37FF" w14:paraId="68D13D10" w14:textId="77777777" w:rsidTr="00E92A68">
        <w:trPr>
          <w:trHeight w:val="480"/>
        </w:trPr>
        <w:tc>
          <w:tcPr>
            <w:tcW w:w="14760" w:type="dxa"/>
            <w:gridSpan w:val="6"/>
            <w:tcBorders>
              <w:top w:val="single" w:sz="24" w:space="0" w:color="auto"/>
              <w:bottom w:val="single" w:sz="24" w:space="0" w:color="auto"/>
            </w:tcBorders>
          </w:tcPr>
          <w:p w14:paraId="10034741" w14:textId="4ABEBD16" w:rsidR="00A46DAD" w:rsidRPr="003A37FF" w:rsidRDefault="00A46DAD" w:rsidP="006E5F0C">
            <w:pPr>
              <w:rPr>
                <w:b/>
              </w:rPr>
            </w:pPr>
            <w:r w:rsidRPr="003A37FF">
              <w:rPr>
                <w:b/>
              </w:rPr>
              <w:t>Table 1: Four Approaches to Regime Change/What explains the financialization of the Investment Regime?</w:t>
            </w:r>
          </w:p>
        </w:tc>
      </w:tr>
      <w:tr w:rsidR="00A46DAD" w:rsidRPr="003A37FF" w14:paraId="04FCA2A7" w14:textId="0FA418EE" w:rsidTr="00E92A68">
        <w:tc>
          <w:tcPr>
            <w:tcW w:w="2430" w:type="dxa"/>
            <w:tcBorders>
              <w:top w:val="single" w:sz="24" w:space="0" w:color="auto"/>
              <w:bottom w:val="single" w:sz="24" w:space="0" w:color="auto"/>
              <w:right w:val="nil"/>
            </w:tcBorders>
          </w:tcPr>
          <w:p w14:paraId="059A2222" w14:textId="77777777" w:rsidR="00A46DAD" w:rsidRPr="003A37FF" w:rsidRDefault="00A46DAD" w:rsidP="006E5F0C">
            <w:pPr>
              <w:rPr>
                <w:b/>
              </w:rPr>
            </w:pPr>
          </w:p>
          <w:p w14:paraId="051C162C" w14:textId="77777777" w:rsidR="00A46DAD" w:rsidRPr="003A37FF" w:rsidRDefault="00A46DAD" w:rsidP="006E5F0C">
            <w:pPr>
              <w:rPr>
                <w:b/>
              </w:rPr>
            </w:pPr>
            <w:r w:rsidRPr="003A37FF">
              <w:rPr>
                <w:b/>
              </w:rPr>
              <w:t>Approach</w:t>
            </w:r>
          </w:p>
        </w:tc>
        <w:tc>
          <w:tcPr>
            <w:tcW w:w="1640" w:type="dxa"/>
            <w:tcBorders>
              <w:top w:val="single" w:sz="24" w:space="0" w:color="auto"/>
              <w:left w:val="nil"/>
              <w:bottom w:val="single" w:sz="24" w:space="0" w:color="auto"/>
            </w:tcBorders>
          </w:tcPr>
          <w:p w14:paraId="218B42B8" w14:textId="77777777" w:rsidR="00A46DAD" w:rsidRPr="003A37FF" w:rsidRDefault="00A46DAD" w:rsidP="006E5F0C">
            <w:pPr>
              <w:rPr>
                <w:b/>
              </w:rPr>
            </w:pPr>
          </w:p>
          <w:p w14:paraId="768B512D" w14:textId="77777777" w:rsidR="00A46DAD" w:rsidRPr="003A37FF" w:rsidRDefault="00A46DAD" w:rsidP="006E5F0C">
            <w:pPr>
              <w:rPr>
                <w:b/>
              </w:rPr>
            </w:pPr>
            <w:r w:rsidRPr="003A37FF">
              <w:rPr>
                <w:b/>
              </w:rPr>
              <w:t>Key Actors</w:t>
            </w:r>
          </w:p>
        </w:tc>
        <w:tc>
          <w:tcPr>
            <w:tcW w:w="1870" w:type="dxa"/>
            <w:tcBorders>
              <w:top w:val="single" w:sz="24" w:space="0" w:color="auto"/>
              <w:bottom w:val="single" w:sz="24" w:space="0" w:color="auto"/>
            </w:tcBorders>
          </w:tcPr>
          <w:p w14:paraId="59B61E5D" w14:textId="77777777" w:rsidR="00A46DAD" w:rsidRPr="003A37FF" w:rsidRDefault="00A46DAD" w:rsidP="006E5F0C">
            <w:pPr>
              <w:rPr>
                <w:b/>
              </w:rPr>
            </w:pPr>
          </w:p>
          <w:p w14:paraId="3AB7A8BB" w14:textId="77777777" w:rsidR="00A46DAD" w:rsidRPr="003A37FF" w:rsidRDefault="00A46DAD" w:rsidP="006E5F0C">
            <w:pPr>
              <w:rPr>
                <w:b/>
              </w:rPr>
            </w:pPr>
            <w:r w:rsidRPr="003A37FF">
              <w:rPr>
                <w:b/>
              </w:rPr>
              <w:t>Mechanism</w:t>
            </w:r>
          </w:p>
        </w:tc>
        <w:tc>
          <w:tcPr>
            <w:tcW w:w="1890" w:type="dxa"/>
            <w:tcBorders>
              <w:top w:val="single" w:sz="24" w:space="0" w:color="auto"/>
              <w:bottom w:val="single" w:sz="24" w:space="0" w:color="auto"/>
            </w:tcBorders>
          </w:tcPr>
          <w:p w14:paraId="32D0EAB2" w14:textId="77777777" w:rsidR="00A46DAD" w:rsidRPr="003A37FF" w:rsidRDefault="00A46DAD" w:rsidP="006E5F0C">
            <w:pPr>
              <w:rPr>
                <w:b/>
              </w:rPr>
            </w:pPr>
          </w:p>
          <w:p w14:paraId="13C88390" w14:textId="5263BAB8" w:rsidR="00A46DAD" w:rsidRPr="003A37FF" w:rsidRDefault="00A46DAD" w:rsidP="006E5F0C">
            <w:pPr>
              <w:rPr>
                <w:b/>
              </w:rPr>
            </w:pPr>
            <w:r w:rsidRPr="003A37FF">
              <w:rPr>
                <w:b/>
              </w:rPr>
              <w:t>Catalyst for Financialization</w:t>
            </w:r>
          </w:p>
          <w:p w14:paraId="0E6BD713" w14:textId="77777777" w:rsidR="00A46DAD" w:rsidRPr="003A37FF" w:rsidRDefault="00A46DAD" w:rsidP="006E5F0C">
            <w:pPr>
              <w:rPr>
                <w:b/>
              </w:rPr>
            </w:pPr>
          </w:p>
        </w:tc>
        <w:tc>
          <w:tcPr>
            <w:tcW w:w="2520" w:type="dxa"/>
            <w:tcBorders>
              <w:top w:val="single" w:sz="24" w:space="0" w:color="auto"/>
              <w:bottom w:val="single" w:sz="24" w:space="0" w:color="auto"/>
            </w:tcBorders>
          </w:tcPr>
          <w:p w14:paraId="292020AA" w14:textId="77777777" w:rsidR="00A46DAD" w:rsidRPr="003A37FF" w:rsidRDefault="00A46DAD" w:rsidP="006E5F0C">
            <w:pPr>
              <w:rPr>
                <w:b/>
              </w:rPr>
            </w:pPr>
          </w:p>
          <w:p w14:paraId="5091D09B" w14:textId="77777777" w:rsidR="00A46DAD" w:rsidRPr="003A37FF" w:rsidRDefault="00A46DAD" w:rsidP="006E5F0C">
            <w:pPr>
              <w:rPr>
                <w:b/>
              </w:rPr>
            </w:pPr>
            <w:r w:rsidRPr="003A37FF">
              <w:rPr>
                <w:b/>
              </w:rPr>
              <w:t>Empirical Expectation</w:t>
            </w:r>
          </w:p>
        </w:tc>
        <w:tc>
          <w:tcPr>
            <w:tcW w:w="4410" w:type="dxa"/>
            <w:tcBorders>
              <w:top w:val="single" w:sz="24" w:space="0" w:color="auto"/>
              <w:bottom w:val="single" w:sz="24" w:space="0" w:color="auto"/>
            </w:tcBorders>
          </w:tcPr>
          <w:p w14:paraId="24B7588A" w14:textId="77777777" w:rsidR="00A46DAD" w:rsidRPr="003A37FF" w:rsidRDefault="00A46DAD" w:rsidP="006E5F0C">
            <w:pPr>
              <w:rPr>
                <w:b/>
              </w:rPr>
            </w:pPr>
          </w:p>
          <w:p w14:paraId="255D09F3" w14:textId="6458EFF1" w:rsidR="00A46DAD" w:rsidRPr="003A37FF" w:rsidRDefault="00A46DAD" w:rsidP="006E5F0C">
            <w:pPr>
              <w:rPr>
                <w:b/>
              </w:rPr>
            </w:pPr>
            <w:r w:rsidRPr="003A37FF">
              <w:rPr>
                <w:b/>
              </w:rPr>
              <w:t>Empirical Observation</w:t>
            </w:r>
          </w:p>
        </w:tc>
      </w:tr>
      <w:tr w:rsidR="00A46DAD" w:rsidRPr="003A37FF" w14:paraId="4B002B6E" w14:textId="7D537E8C" w:rsidTr="00E92A68">
        <w:tc>
          <w:tcPr>
            <w:tcW w:w="2430" w:type="dxa"/>
            <w:tcBorders>
              <w:top w:val="single" w:sz="24" w:space="0" w:color="auto"/>
              <w:right w:val="nil"/>
            </w:tcBorders>
          </w:tcPr>
          <w:p w14:paraId="6AF89A10" w14:textId="77777777" w:rsidR="00A46DAD" w:rsidRPr="003A37FF" w:rsidRDefault="00A46DAD" w:rsidP="006E5F0C">
            <w:pPr>
              <w:rPr>
                <w:i/>
                <w:iCs/>
              </w:rPr>
            </w:pPr>
          </w:p>
          <w:p w14:paraId="5E3B36E5" w14:textId="56FF0041" w:rsidR="00A46DAD" w:rsidRPr="003A37FF" w:rsidRDefault="00A46DAD" w:rsidP="006E5F0C">
            <w:pPr>
              <w:rPr>
                <w:i/>
                <w:iCs/>
              </w:rPr>
            </w:pPr>
            <w:r w:rsidRPr="003A37FF">
              <w:rPr>
                <w:i/>
                <w:iCs/>
              </w:rPr>
              <w:t>Technological shock</w:t>
            </w:r>
          </w:p>
        </w:tc>
        <w:tc>
          <w:tcPr>
            <w:tcW w:w="1640" w:type="dxa"/>
            <w:tcBorders>
              <w:top w:val="single" w:sz="24" w:space="0" w:color="auto"/>
              <w:left w:val="nil"/>
            </w:tcBorders>
          </w:tcPr>
          <w:p w14:paraId="20B5DC5D" w14:textId="77777777" w:rsidR="00A46DAD" w:rsidRPr="003A37FF" w:rsidRDefault="00A46DAD" w:rsidP="006E5F0C"/>
          <w:p w14:paraId="7BD3A835" w14:textId="77777777" w:rsidR="00A46DAD" w:rsidRPr="003A37FF" w:rsidRDefault="00A46DAD" w:rsidP="006E5F0C">
            <w:r w:rsidRPr="003A37FF">
              <w:t xml:space="preserve">In-field Professionals/ </w:t>
            </w:r>
          </w:p>
          <w:p w14:paraId="01E903F3" w14:textId="77777777" w:rsidR="00A46DAD" w:rsidRPr="003A37FF" w:rsidRDefault="00A46DAD" w:rsidP="006E5F0C">
            <w:r w:rsidRPr="003A37FF">
              <w:t>Academics</w:t>
            </w:r>
          </w:p>
          <w:p w14:paraId="63493D25" w14:textId="77777777" w:rsidR="00A46DAD" w:rsidRPr="003A37FF" w:rsidRDefault="00A46DAD" w:rsidP="006E5F0C"/>
        </w:tc>
        <w:tc>
          <w:tcPr>
            <w:tcW w:w="1870" w:type="dxa"/>
            <w:tcBorders>
              <w:top w:val="single" w:sz="24" w:space="0" w:color="auto"/>
            </w:tcBorders>
          </w:tcPr>
          <w:p w14:paraId="0BBB934E" w14:textId="77777777" w:rsidR="00A46DAD" w:rsidRPr="003A37FF" w:rsidRDefault="00A46DAD" w:rsidP="006E5F0C"/>
          <w:p w14:paraId="25457C9E" w14:textId="77777777" w:rsidR="00A46DAD" w:rsidRPr="003A37FF" w:rsidRDefault="00A46DAD" w:rsidP="006E5F0C">
            <w:r w:rsidRPr="003A37FF">
              <w:t>Performativity/</w:t>
            </w:r>
          </w:p>
          <w:p w14:paraId="360EE02B" w14:textId="0A4F74EE" w:rsidR="00A46DAD" w:rsidRPr="003A37FF" w:rsidRDefault="00A46DAD" w:rsidP="006E5F0C">
            <w:r w:rsidRPr="003A37FF">
              <w:t>Interdependence</w:t>
            </w:r>
          </w:p>
        </w:tc>
        <w:tc>
          <w:tcPr>
            <w:tcW w:w="1890" w:type="dxa"/>
            <w:tcBorders>
              <w:top w:val="single" w:sz="24" w:space="0" w:color="auto"/>
            </w:tcBorders>
          </w:tcPr>
          <w:p w14:paraId="73BA9A60" w14:textId="77777777" w:rsidR="00A46DAD" w:rsidRPr="003A37FF" w:rsidRDefault="00A46DAD" w:rsidP="006E5F0C"/>
          <w:p w14:paraId="58C13D06" w14:textId="77777777" w:rsidR="00A46DAD" w:rsidRPr="003A37FF" w:rsidRDefault="00A46DAD" w:rsidP="006E5F0C">
            <w:r w:rsidRPr="003A37FF">
              <w:t>Innovation</w:t>
            </w:r>
          </w:p>
        </w:tc>
        <w:tc>
          <w:tcPr>
            <w:tcW w:w="2520" w:type="dxa"/>
            <w:tcBorders>
              <w:top w:val="single" w:sz="24" w:space="0" w:color="auto"/>
            </w:tcBorders>
          </w:tcPr>
          <w:p w14:paraId="65C3C7AF" w14:textId="77777777" w:rsidR="00A46DAD" w:rsidRPr="003A37FF" w:rsidRDefault="00A46DAD" w:rsidP="006E5F0C"/>
          <w:p w14:paraId="22D062FC" w14:textId="77777777" w:rsidR="00A46DAD" w:rsidRPr="003A37FF" w:rsidRDefault="00A46DAD" w:rsidP="006E5F0C">
            <w:r w:rsidRPr="003A37FF">
              <w:t>New tools for valuing cases lead to the development of TPF.</w:t>
            </w:r>
          </w:p>
          <w:p w14:paraId="2F72324B" w14:textId="77777777" w:rsidR="00A46DAD" w:rsidRPr="003A37FF" w:rsidRDefault="00A46DAD" w:rsidP="006E5F0C"/>
        </w:tc>
        <w:tc>
          <w:tcPr>
            <w:tcW w:w="4410" w:type="dxa"/>
            <w:tcBorders>
              <w:top w:val="single" w:sz="24" w:space="0" w:color="auto"/>
            </w:tcBorders>
          </w:tcPr>
          <w:p w14:paraId="4470D201" w14:textId="77777777" w:rsidR="00A46DAD" w:rsidRPr="003A37FF" w:rsidRDefault="00A46DAD" w:rsidP="006E5F0C"/>
          <w:p w14:paraId="67FF66BC" w14:textId="77777777" w:rsidR="00A46DAD" w:rsidRPr="003A37FF" w:rsidRDefault="00A46DAD" w:rsidP="006E5F0C">
            <w:r w:rsidRPr="003A37FF">
              <w:t>Timing inconsistency.</w:t>
            </w:r>
          </w:p>
          <w:p w14:paraId="2BD014F3" w14:textId="77777777" w:rsidR="00A46DAD" w:rsidRPr="003A37FF" w:rsidRDefault="00A46DAD" w:rsidP="006E5F0C">
            <w:r w:rsidRPr="003A37FF">
              <w:t xml:space="preserve">Securitization and funding </w:t>
            </w:r>
          </w:p>
          <w:p w14:paraId="0CAA088E" w14:textId="77777777" w:rsidR="00A46DAD" w:rsidRPr="003A37FF" w:rsidRDefault="00A46DAD" w:rsidP="006E5F0C">
            <w:r w:rsidRPr="003A37FF">
              <w:t xml:space="preserve">models developed long before TPF enters </w:t>
            </w:r>
          </w:p>
          <w:p w14:paraId="072AC7CF" w14:textId="77264C7F" w:rsidR="00A46DAD" w:rsidRPr="003A37FF" w:rsidRDefault="00A46DAD" w:rsidP="006E5F0C">
            <w:r w:rsidRPr="003A37FF">
              <w:t>the legal domain.</w:t>
            </w:r>
          </w:p>
        </w:tc>
      </w:tr>
      <w:tr w:rsidR="00A46DAD" w:rsidRPr="003A37FF" w14:paraId="42F0367A" w14:textId="0F4008EC" w:rsidTr="00E92A68">
        <w:tc>
          <w:tcPr>
            <w:tcW w:w="2430" w:type="dxa"/>
            <w:tcBorders>
              <w:right w:val="nil"/>
            </w:tcBorders>
          </w:tcPr>
          <w:p w14:paraId="608F000A" w14:textId="77777777" w:rsidR="00A46DAD" w:rsidRPr="003A37FF" w:rsidRDefault="00A46DAD" w:rsidP="006E5F0C">
            <w:pPr>
              <w:rPr>
                <w:i/>
                <w:iCs/>
              </w:rPr>
            </w:pPr>
          </w:p>
          <w:p w14:paraId="69015ABE" w14:textId="77777777" w:rsidR="00A46DAD" w:rsidRPr="003A37FF" w:rsidRDefault="00A46DAD" w:rsidP="006E5F0C">
            <w:pPr>
              <w:rPr>
                <w:i/>
                <w:iCs/>
              </w:rPr>
            </w:pPr>
            <w:r w:rsidRPr="003A37FF">
              <w:rPr>
                <w:i/>
                <w:iCs/>
              </w:rPr>
              <w:t>Ideology</w:t>
            </w:r>
          </w:p>
        </w:tc>
        <w:tc>
          <w:tcPr>
            <w:tcW w:w="1640" w:type="dxa"/>
            <w:tcBorders>
              <w:left w:val="nil"/>
            </w:tcBorders>
          </w:tcPr>
          <w:p w14:paraId="7403266D" w14:textId="77777777" w:rsidR="00A46DAD" w:rsidRPr="003A37FF" w:rsidRDefault="00A46DAD" w:rsidP="006E5F0C"/>
          <w:p w14:paraId="37E62A05" w14:textId="77777777" w:rsidR="00A46DAD" w:rsidRPr="003A37FF" w:rsidRDefault="00A46DAD" w:rsidP="006E5F0C">
            <w:r w:rsidRPr="003A37FF">
              <w:t>In-field professionals</w:t>
            </w:r>
          </w:p>
        </w:tc>
        <w:tc>
          <w:tcPr>
            <w:tcW w:w="1870" w:type="dxa"/>
          </w:tcPr>
          <w:p w14:paraId="13E6D690" w14:textId="77777777" w:rsidR="00A46DAD" w:rsidRPr="003A37FF" w:rsidRDefault="00A46DAD" w:rsidP="006E5F0C"/>
          <w:p w14:paraId="19C21680" w14:textId="77777777" w:rsidR="00A46DAD" w:rsidRPr="003A37FF" w:rsidRDefault="00A46DAD" w:rsidP="006E5F0C">
            <w:r w:rsidRPr="003A37FF">
              <w:t>Diffusion/</w:t>
            </w:r>
          </w:p>
          <w:p w14:paraId="45E5EB37" w14:textId="77777777" w:rsidR="00A46DAD" w:rsidRPr="003A37FF" w:rsidRDefault="00A46DAD" w:rsidP="006E5F0C">
            <w:r w:rsidRPr="003A37FF">
              <w:t>Imitation</w:t>
            </w:r>
          </w:p>
        </w:tc>
        <w:tc>
          <w:tcPr>
            <w:tcW w:w="1890" w:type="dxa"/>
          </w:tcPr>
          <w:p w14:paraId="207D7818" w14:textId="77777777" w:rsidR="00A46DAD" w:rsidRPr="003A37FF" w:rsidRDefault="00A46DAD" w:rsidP="006E5F0C"/>
          <w:p w14:paraId="087505C4" w14:textId="1BD87745" w:rsidR="00A46DAD" w:rsidRPr="003A37FF" w:rsidRDefault="00A46DAD" w:rsidP="006E5F0C">
            <w:r w:rsidRPr="003A37FF">
              <w:t>Financial Constraints</w:t>
            </w:r>
          </w:p>
        </w:tc>
        <w:tc>
          <w:tcPr>
            <w:tcW w:w="2520" w:type="dxa"/>
          </w:tcPr>
          <w:p w14:paraId="057F1B6C" w14:textId="77777777" w:rsidR="00A46DAD" w:rsidRPr="003A37FF" w:rsidRDefault="00A46DAD" w:rsidP="006E5F0C"/>
          <w:p w14:paraId="784B9ED3" w14:textId="77777777" w:rsidR="00A46DAD" w:rsidRPr="003A37FF" w:rsidRDefault="00A46DAD" w:rsidP="006E5F0C">
            <w:r w:rsidRPr="003A37FF">
              <w:t>Non-financial corporations lead the growth for TPF to offset risk and reduce balance sheet exposure.</w:t>
            </w:r>
          </w:p>
          <w:p w14:paraId="08190562" w14:textId="77777777" w:rsidR="00A46DAD" w:rsidRPr="003A37FF" w:rsidRDefault="00A46DAD" w:rsidP="006E5F0C"/>
        </w:tc>
        <w:tc>
          <w:tcPr>
            <w:tcW w:w="4410" w:type="dxa"/>
          </w:tcPr>
          <w:p w14:paraId="13F08D1B" w14:textId="77777777" w:rsidR="00A46DAD" w:rsidRPr="003A37FF" w:rsidRDefault="00A46DAD" w:rsidP="006E5F0C"/>
          <w:p w14:paraId="11FB95F6" w14:textId="77777777" w:rsidR="00A46DAD" w:rsidRPr="003A37FF" w:rsidRDefault="00A46DAD" w:rsidP="006E5F0C">
            <w:r w:rsidRPr="003A37FF">
              <w:t xml:space="preserve">Empirical mismatch. </w:t>
            </w:r>
          </w:p>
          <w:p w14:paraId="3C7F78D9" w14:textId="77777777" w:rsidR="00A46DAD" w:rsidRPr="003A37FF" w:rsidRDefault="00A46DAD" w:rsidP="006E5F0C">
            <w:r w:rsidRPr="003A37FF">
              <w:t xml:space="preserve">Industrial firms do not initiate </w:t>
            </w:r>
          </w:p>
          <w:p w14:paraId="26A30C78" w14:textId="135199A1" w:rsidR="00A46DAD" w:rsidRPr="003A37FF" w:rsidRDefault="00A46DAD" w:rsidP="006E5F0C">
            <w:r w:rsidRPr="003A37FF">
              <w:t xml:space="preserve">regime change but follow. </w:t>
            </w:r>
          </w:p>
        </w:tc>
      </w:tr>
      <w:tr w:rsidR="00A46DAD" w:rsidRPr="003A37FF" w14:paraId="4AD5D94C" w14:textId="58221D0D" w:rsidTr="00E92A68">
        <w:tc>
          <w:tcPr>
            <w:tcW w:w="2430" w:type="dxa"/>
            <w:tcBorders>
              <w:right w:val="nil"/>
            </w:tcBorders>
          </w:tcPr>
          <w:p w14:paraId="1466B0CD" w14:textId="77777777" w:rsidR="00A46DAD" w:rsidRPr="003A37FF" w:rsidRDefault="00A46DAD" w:rsidP="006E5F0C">
            <w:pPr>
              <w:rPr>
                <w:i/>
                <w:iCs/>
              </w:rPr>
            </w:pPr>
          </w:p>
          <w:p w14:paraId="42997114" w14:textId="0FB9AE89" w:rsidR="00A46DAD" w:rsidRPr="003A37FF" w:rsidRDefault="00A46DAD" w:rsidP="006E5F0C">
            <w:pPr>
              <w:rPr>
                <w:i/>
                <w:iCs/>
              </w:rPr>
            </w:pPr>
            <w:r w:rsidRPr="003A37FF">
              <w:rPr>
                <w:i/>
                <w:iCs/>
              </w:rPr>
              <w:t>State action</w:t>
            </w:r>
          </w:p>
        </w:tc>
        <w:tc>
          <w:tcPr>
            <w:tcW w:w="1640" w:type="dxa"/>
            <w:tcBorders>
              <w:left w:val="nil"/>
            </w:tcBorders>
          </w:tcPr>
          <w:p w14:paraId="1393E67B" w14:textId="77777777" w:rsidR="00A46DAD" w:rsidRPr="003A37FF" w:rsidRDefault="00A46DAD" w:rsidP="006E5F0C"/>
          <w:p w14:paraId="2BFDCAD6" w14:textId="77777777" w:rsidR="00A46DAD" w:rsidRPr="003A37FF" w:rsidRDefault="00A46DAD" w:rsidP="006E5F0C">
            <w:r w:rsidRPr="003A37FF">
              <w:t>In-field State/Interest Groups</w:t>
            </w:r>
          </w:p>
          <w:p w14:paraId="425B3887" w14:textId="77777777" w:rsidR="00A46DAD" w:rsidRPr="003A37FF" w:rsidRDefault="00A46DAD" w:rsidP="006E5F0C"/>
        </w:tc>
        <w:tc>
          <w:tcPr>
            <w:tcW w:w="1870" w:type="dxa"/>
          </w:tcPr>
          <w:p w14:paraId="40946324" w14:textId="77777777" w:rsidR="00A46DAD" w:rsidRPr="003A37FF" w:rsidRDefault="00A46DAD" w:rsidP="006E5F0C"/>
          <w:p w14:paraId="6DEF6CB6" w14:textId="77777777" w:rsidR="00A46DAD" w:rsidRPr="003A37FF" w:rsidRDefault="00A46DAD" w:rsidP="006E5F0C">
            <w:r w:rsidRPr="003A37FF">
              <w:t>Unilateral Action/</w:t>
            </w:r>
          </w:p>
          <w:p w14:paraId="17AC3C97" w14:textId="64C4D36A" w:rsidR="00A46DAD" w:rsidRPr="003A37FF" w:rsidRDefault="00A46DAD" w:rsidP="006E5F0C">
            <w:r w:rsidRPr="003A37FF">
              <w:t>Lobbying</w:t>
            </w:r>
          </w:p>
        </w:tc>
        <w:tc>
          <w:tcPr>
            <w:tcW w:w="1890" w:type="dxa"/>
          </w:tcPr>
          <w:p w14:paraId="459D1E88" w14:textId="77777777" w:rsidR="00A46DAD" w:rsidRPr="003A37FF" w:rsidRDefault="00A46DAD" w:rsidP="006E5F0C"/>
          <w:p w14:paraId="37A931A8" w14:textId="77777777" w:rsidR="00A46DAD" w:rsidRPr="003A37FF" w:rsidRDefault="00A46DAD" w:rsidP="006E5F0C">
            <w:r w:rsidRPr="003A37FF">
              <w:t>Internal field dynamics</w:t>
            </w:r>
          </w:p>
        </w:tc>
        <w:tc>
          <w:tcPr>
            <w:tcW w:w="2520" w:type="dxa"/>
          </w:tcPr>
          <w:p w14:paraId="3BA9B63D" w14:textId="77777777" w:rsidR="00A46DAD" w:rsidRPr="003A37FF" w:rsidRDefault="00A46DAD" w:rsidP="006E5F0C"/>
          <w:p w14:paraId="78C109F0" w14:textId="77777777" w:rsidR="00A46DAD" w:rsidRPr="003A37FF" w:rsidRDefault="00A46DAD" w:rsidP="006E5F0C">
            <w:r w:rsidRPr="003A37FF">
              <w:t xml:space="preserve">Regulatory actions drive the development of TPF, promoting synergy between the state and finance. </w:t>
            </w:r>
          </w:p>
          <w:p w14:paraId="20A73CD7" w14:textId="77777777" w:rsidR="00A46DAD" w:rsidRPr="003A37FF" w:rsidRDefault="00A46DAD" w:rsidP="006E5F0C">
            <w:r w:rsidRPr="003A37FF">
              <w:t xml:space="preserve"> </w:t>
            </w:r>
          </w:p>
        </w:tc>
        <w:tc>
          <w:tcPr>
            <w:tcW w:w="4410" w:type="dxa"/>
          </w:tcPr>
          <w:p w14:paraId="624A99FD" w14:textId="77777777" w:rsidR="00A46DAD" w:rsidRPr="003A37FF" w:rsidRDefault="00A46DAD" w:rsidP="006E5F0C"/>
          <w:p w14:paraId="2A747706" w14:textId="77777777" w:rsidR="00A46DAD" w:rsidRPr="003A37FF" w:rsidRDefault="00A46DAD" w:rsidP="006E5F0C">
            <w:r w:rsidRPr="003A37FF">
              <w:t xml:space="preserve">Empirical mismatch. </w:t>
            </w:r>
          </w:p>
          <w:p w14:paraId="5BF502A0" w14:textId="77777777" w:rsidR="00A46DAD" w:rsidRPr="003A37FF" w:rsidRDefault="00A46DAD" w:rsidP="006E5F0C">
            <w:r w:rsidRPr="003A37FF">
              <w:t xml:space="preserve">States increasingly resist TPF. </w:t>
            </w:r>
          </w:p>
          <w:p w14:paraId="2FC1642D" w14:textId="014C01FD" w:rsidR="00A46DAD" w:rsidRPr="003A37FF" w:rsidRDefault="00A46DAD" w:rsidP="006E5F0C">
            <w:r w:rsidRPr="003A37FF">
              <w:t>Multilateral efforts to limit TPF.</w:t>
            </w:r>
          </w:p>
        </w:tc>
      </w:tr>
      <w:tr w:rsidR="00A46DAD" w:rsidRPr="003A37FF" w14:paraId="5FF12E1B" w14:textId="292CCDC4" w:rsidTr="00E92A68">
        <w:tc>
          <w:tcPr>
            <w:tcW w:w="2430" w:type="dxa"/>
            <w:tcBorders>
              <w:bottom w:val="single" w:sz="24" w:space="0" w:color="auto"/>
              <w:right w:val="nil"/>
            </w:tcBorders>
          </w:tcPr>
          <w:p w14:paraId="08FE269C" w14:textId="77777777" w:rsidR="00A46DAD" w:rsidRPr="003A37FF" w:rsidRDefault="00A46DAD" w:rsidP="006E5F0C">
            <w:pPr>
              <w:rPr>
                <w:i/>
                <w:iCs/>
              </w:rPr>
            </w:pPr>
          </w:p>
          <w:p w14:paraId="191BD4AA" w14:textId="77777777" w:rsidR="00A46DAD" w:rsidRPr="003A37FF" w:rsidRDefault="00A46DAD" w:rsidP="006E5F0C">
            <w:pPr>
              <w:rPr>
                <w:i/>
                <w:iCs/>
              </w:rPr>
            </w:pPr>
            <w:r w:rsidRPr="003A37FF">
              <w:rPr>
                <w:i/>
                <w:iCs/>
              </w:rPr>
              <w:t>Cross-Field Coalitions</w:t>
            </w:r>
          </w:p>
        </w:tc>
        <w:tc>
          <w:tcPr>
            <w:tcW w:w="1640" w:type="dxa"/>
            <w:tcBorders>
              <w:left w:val="nil"/>
              <w:bottom w:val="single" w:sz="24" w:space="0" w:color="000000"/>
            </w:tcBorders>
          </w:tcPr>
          <w:p w14:paraId="5BBA34C1" w14:textId="77777777" w:rsidR="00A46DAD" w:rsidRPr="003A37FF" w:rsidRDefault="00A46DAD" w:rsidP="006E5F0C"/>
          <w:p w14:paraId="1186B665" w14:textId="77777777" w:rsidR="00A46DAD" w:rsidRPr="003A37FF" w:rsidRDefault="00A46DAD" w:rsidP="006E5F0C">
            <w:r w:rsidRPr="003A37FF">
              <w:t>In-field and Foreign-field Professionals</w:t>
            </w:r>
          </w:p>
          <w:p w14:paraId="780FF1D7" w14:textId="77777777" w:rsidR="00A46DAD" w:rsidRPr="003A37FF" w:rsidRDefault="00A46DAD" w:rsidP="006E5F0C"/>
        </w:tc>
        <w:tc>
          <w:tcPr>
            <w:tcW w:w="1870" w:type="dxa"/>
            <w:tcBorders>
              <w:bottom w:val="single" w:sz="24" w:space="0" w:color="000000"/>
            </w:tcBorders>
          </w:tcPr>
          <w:p w14:paraId="16BDCB4E" w14:textId="77777777" w:rsidR="00A46DAD" w:rsidRPr="003A37FF" w:rsidRDefault="00A46DAD" w:rsidP="006E5F0C"/>
          <w:p w14:paraId="0A2D2F1B" w14:textId="77777777" w:rsidR="00A46DAD" w:rsidRPr="003A37FF" w:rsidRDefault="00A46DAD" w:rsidP="006E5F0C">
            <w:r w:rsidRPr="003A37FF">
              <w:t>Importing/ Grafting</w:t>
            </w:r>
          </w:p>
        </w:tc>
        <w:tc>
          <w:tcPr>
            <w:tcW w:w="1890" w:type="dxa"/>
            <w:tcBorders>
              <w:bottom w:val="single" w:sz="24" w:space="0" w:color="000000"/>
            </w:tcBorders>
          </w:tcPr>
          <w:p w14:paraId="0274C207" w14:textId="77777777" w:rsidR="00A46DAD" w:rsidRPr="003A37FF" w:rsidRDefault="00A46DAD" w:rsidP="006E5F0C"/>
          <w:p w14:paraId="54444841" w14:textId="77777777" w:rsidR="00A46DAD" w:rsidRPr="003A37FF" w:rsidRDefault="00A46DAD" w:rsidP="006E5F0C">
            <w:r w:rsidRPr="003A37FF">
              <w:t>External field dynamics</w:t>
            </w:r>
          </w:p>
        </w:tc>
        <w:tc>
          <w:tcPr>
            <w:tcW w:w="2520" w:type="dxa"/>
            <w:tcBorders>
              <w:bottom w:val="single" w:sz="24" w:space="0" w:color="000000"/>
            </w:tcBorders>
          </w:tcPr>
          <w:p w14:paraId="4D0B4485" w14:textId="77777777" w:rsidR="00A46DAD" w:rsidRPr="003A37FF" w:rsidRDefault="00A46DAD" w:rsidP="006E5F0C"/>
          <w:p w14:paraId="44508453" w14:textId="77777777" w:rsidR="00A46DAD" w:rsidRPr="003A37FF" w:rsidRDefault="00A46DAD" w:rsidP="006E5F0C">
            <w:r w:rsidRPr="003A37FF">
              <w:t>Cross-field coalitions between the financial field and legal field lead to the development of TPF.</w:t>
            </w:r>
          </w:p>
        </w:tc>
        <w:tc>
          <w:tcPr>
            <w:tcW w:w="4410" w:type="dxa"/>
            <w:tcBorders>
              <w:bottom w:val="single" w:sz="24" w:space="0" w:color="000000"/>
            </w:tcBorders>
          </w:tcPr>
          <w:p w14:paraId="6D751F83" w14:textId="77777777" w:rsidR="00A46DAD" w:rsidRPr="003A37FF" w:rsidRDefault="00A46DAD" w:rsidP="006E5F0C"/>
          <w:p w14:paraId="05F41201" w14:textId="77777777" w:rsidR="00A46DAD" w:rsidRPr="003A37FF" w:rsidRDefault="00A46DAD" w:rsidP="006E5F0C">
            <w:r w:rsidRPr="003A37FF">
              <w:t xml:space="preserve">Case consistent. </w:t>
            </w:r>
          </w:p>
          <w:p w14:paraId="35465CC3" w14:textId="77777777" w:rsidR="00A46DAD" w:rsidRPr="003A37FF" w:rsidRDefault="00A46DAD" w:rsidP="006E5F0C">
            <w:r w:rsidRPr="003A37FF">
              <w:t xml:space="preserve">Financial and legal cross-field coalition </w:t>
            </w:r>
          </w:p>
          <w:p w14:paraId="485850C9" w14:textId="105FAD00" w:rsidR="00A46DAD" w:rsidRPr="003A37FF" w:rsidRDefault="00A46DAD" w:rsidP="006E5F0C">
            <w:r w:rsidRPr="003A37FF">
              <w:t xml:space="preserve">drives regime change through the </w:t>
            </w:r>
          </w:p>
          <w:p w14:paraId="69F5CD31" w14:textId="77777777" w:rsidR="00A46DAD" w:rsidRPr="003A37FF" w:rsidRDefault="00A46DAD" w:rsidP="006E5F0C">
            <w:r w:rsidRPr="003A37FF">
              <w:t xml:space="preserve">introduction of financialization strategies. </w:t>
            </w:r>
          </w:p>
          <w:p w14:paraId="36DEB39E" w14:textId="15CDB9DA" w:rsidR="00A46DAD" w:rsidRPr="003A37FF" w:rsidRDefault="00A46DAD" w:rsidP="006E5F0C">
            <w:r w:rsidRPr="003A37FF">
              <w:t>Framing used to naturalize outsider strategies.</w:t>
            </w:r>
          </w:p>
        </w:tc>
      </w:tr>
    </w:tbl>
    <w:p w14:paraId="722EE5A5" w14:textId="77777777" w:rsidR="00A46DAD" w:rsidRPr="003A37FF" w:rsidRDefault="00A46DAD" w:rsidP="00583949">
      <w:pPr>
        <w:spacing w:line="480" w:lineRule="auto"/>
        <w:rPr>
          <w:iCs/>
        </w:rPr>
        <w:sectPr w:rsidR="00A46DAD" w:rsidRPr="003A37FF" w:rsidSect="00812EDF">
          <w:pgSz w:w="15840" w:h="12240" w:orient="landscape"/>
          <w:pgMar w:top="1440" w:right="1440" w:bottom="1440" w:left="1440" w:header="720" w:footer="720" w:gutter="0"/>
          <w:pgNumType w:start="21"/>
          <w:cols w:space="720"/>
          <w:docGrid w:linePitch="360"/>
        </w:sectPr>
      </w:pPr>
    </w:p>
    <w:p w14:paraId="6895B9CA" w14:textId="77777777" w:rsidR="00A46DAD" w:rsidRPr="003A37FF" w:rsidRDefault="00A46DAD" w:rsidP="00583949">
      <w:pPr>
        <w:spacing w:line="480" w:lineRule="auto"/>
        <w:rPr>
          <w:iCs/>
        </w:rPr>
      </w:pPr>
    </w:p>
    <w:p w14:paraId="5D11B6EC" w14:textId="6D60FD6C" w:rsidR="00A46DAD" w:rsidRPr="008D1DBA" w:rsidRDefault="00A46DAD" w:rsidP="00812EDF">
      <w:pPr>
        <w:pStyle w:val="ListParagraph"/>
        <w:numPr>
          <w:ilvl w:val="0"/>
          <w:numId w:val="1"/>
        </w:numPr>
        <w:rPr>
          <w:rFonts w:ascii="Times New Roman" w:hAnsi="Times New Roman" w:cs="Times New Roman"/>
        </w:rPr>
      </w:pPr>
      <w:r w:rsidRPr="008D1DBA">
        <w:rPr>
          <w:rFonts w:ascii="Times New Roman" w:hAnsi="Times New Roman" w:cs="Times New Roman"/>
          <w:b/>
        </w:rPr>
        <w:t>Field Interaction and Third-Party Funding in the Investment Regime</w:t>
      </w:r>
    </w:p>
    <w:p w14:paraId="3C62F461" w14:textId="77777777" w:rsidR="00A46DAD" w:rsidRPr="003A37FF" w:rsidRDefault="00A46DAD" w:rsidP="00583949">
      <w:pPr>
        <w:spacing w:line="480" w:lineRule="auto"/>
        <w:rPr>
          <w:iCs/>
        </w:rPr>
      </w:pPr>
    </w:p>
    <w:p w14:paraId="2A1EE411" w14:textId="01F4AFC7" w:rsidR="00A46DAD" w:rsidRPr="003A37FF" w:rsidRDefault="00A46DAD" w:rsidP="00D60C3B">
      <w:pPr>
        <w:spacing w:line="480" w:lineRule="auto"/>
        <w:ind w:firstLine="720"/>
      </w:pPr>
      <w:r w:rsidRPr="003A37FF">
        <w:t xml:space="preserve">The investment regime is a useful case for our argument as it involved a regime populated primarily by international legal professionals </w:t>
      </w:r>
      <w:r w:rsidRPr="003A37FF">
        <w:fldChar w:fldCharType="begin"/>
      </w:r>
      <w:r w:rsidRPr="003A37FF">
        <w:instrText xml:space="preserve"> ADDIN ZOTERO_ITEM CSL_CITATION {"citationID":"wSuwdLSP","properties":{"formattedCitation":"(Tucker 2018; St John 2018)","plainCitation":"(Tucker 2018; St John 2018)","noteIndex":0},"citationItems":[{"id":4122,"uris":["http://zotero.org/users/local/oXQBh7r1/items/MU3GB5E5"],"uri":["http://zotero.org/users/local/oXQBh7r1/items/MU3GB5E5"],"itemData":{"id":4122,"type":"book","publisher":"Anthem Press","source":"Google Scholar","title":"Judge Knot: Politics and Development in International Investment Law","title-short":"Judge Knot","author":[{"family":"Tucker","given":"Todd N."}],"issued":{"date-parts":[["2018"]]}}},{"id":4253,"uris":["http://zotero.org/users/local/oXQBh7r1/items/MB9BX48C"],"uri":["http://zotero.org/users/local/oXQBh7r1/items/MB9BX48C"],"itemData":{"id":4253,"type":"book","publisher":"Oxford University Press","source":"Google Scholar","title":"The Rise of Investor-State Arbitration: Politics, Law, and Unintended Consequences","title-short":"The Rise of Investor-State Arbitration","author":[{"family":"St John","given":"Taylor"}],"issued":{"date-parts":[["2018"]]}}}],"schema":"https://github.com/citation-style-language/schema/raw/master/csl-citation.json"} </w:instrText>
      </w:r>
      <w:r w:rsidRPr="003A37FF">
        <w:fldChar w:fldCharType="separate"/>
      </w:r>
      <w:r w:rsidRPr="003A37FF">
        <w:rPr>
          <w:noProof/>
        </w:rPr>
        <w:t>(Tucker 2018; St John 2018)</w:t>
      </w:r>
      <w:r w:rsidRPr="003A37FF">
        <w:fldChar w:fldCharType="end"/>
      </w:r>
      <w:r w:rsidRPr="003A37FF">
        <w:t>. Here we trace how the professional ecosystem changed</w:t>
      </w:r>
      <w:r>
        <w:t xml:space="preserve"> </w:t>
      </w:r>
      <w:r w:rsidRPr="003A37FF">
        <w:t>following the 2008 crisis</w:t>
      </w:r>
      <w:r>
        <w:t xml:space="preserve">, having </w:t>
      </w:r>
      <w:r w:rsidRPr="003A37FF">
        <w:t xml:space="preserve">important consequences for the function and use of the regime. Financial professionals saw the regime not as a way of compensating for weak property rights but instead as a way to increase compensation to investors. The case offers preliminary evidence of our described mechanisms, highlighting how financial actors were able to boost the number of cases being filed, increasing lawyer billable hours, and generating valuable resources to build coalitions with the legal community. Financial actors, then, deployed cross-regime grafting to educate the traditional investment community on the possibilities of third-party finance and, in turn, the financialization of ISDS. </w:t>
      </w:r>
    </w:p>
    <w:p w14:paraId="50226831" w14:textId="77777777" w:rsidR="00A46DAD" w:rsidRPr="003A37FF" w:rsidRDefault="00A46DAD" w:rsidP="001C6824">
      <w:pPr>
        <w:widowControl w:val="0"/>
        <w:autoSpaceDE w:val="0"/>
        <w:autoSpaceDN w:val="0"/>
        <w:adjustRightInd w:val="0"/>
        <w:spacing w:after="240" w:line="300" w:lineRule="atLeast"/>
      </w:pPr>
    </w:p>
    <w:p w14:paraId="15D4BBDE" w14:textId="1D37E075" w:rsidR="00A46DAD" w:rsidRPr="003A37FF" w:rsidRDefault="00A46DAD" w:rsidP="001C6824">
      <w:pPr>
        <w:widowControl w:val="0"/>
        <w:autoSpaceDE w:val="0"/>
        <w:autoSpaceDN w:val="0"/>
        <w:adjustRightInd w:val="0"/>
        <w:spacing w:after="240" w:line="300" w:lineRule="atLeast"/>
        <w:rPr>
          <w:i/>
        </w:rPr>
      </w:pPr>
      <w:r w:rsidRPr="003A37FF">
        <w:rPr>
          <w:i/>
        </w:rPr>
        <w:t>The Great Recession as Catalyst</w:t>
      </w:r>
    </w:p>
    <w:p w14:paraId="75EDF89E" w14:textId="616966FA" w:rsidR="00A46DAD" w:rsidRPr="003A37FF" w:rsidRDefault="00A46DAD" w:rsidP="007E369B">
      <w:pPr>
        <w:spacing w:line="480" w:lineRule="auto"/>
        <w:ind w:firstLine="720"/>
      </w:pPr>
      <w:r w:rsidRPr="003A37FF">
        <w:t xml:space="preserve">TPF has become a structural feature of the ISDS landscape, with funders attracted by the huge returns that require relatively limited early investments as well as the new terrain for business expansion. In contrast to arguments highlighting the role of new technology, the potential for high returns has always been true with ISDS and financialization practices such as securitization had existed for some time so it inevitably begs the question as to why it took so long for the trend to emerge. As per our expectations, a shock in neighboring fields acted as the catalyst. </w:t>
      </w:r>
    </w:p>
    <w:p w14:paraId="20976B04" w14:textId="66E8A26A" w:rsidR="00A46DAD" w:rsidRPr="003A37FF" w:rsidRDefault="00A46DAD" w:rsidP="00F00DAA">
      <w:pPr>
        <w:spacing w:line="480" w:lineRule="auto"/>
        <w:ind w:firstLine="720"/>
      </w:pPr>
      <w:r w:rsidRPr="003A37FF">
        <w:t xml:space="preserve">Observers of the industry, be it advocates or critics, all generally pinpoint the 2008 financial crisis as a key turning point </w:t>
      </w:r>
      <w:r w:rsidRPr="003A37FF">
        <w:fldChar w:fldCharType="begin"/>
      </w:r>
      <w:r w:rsidRPr="003A37FF">
        <w:instrText xml:space="preserve"> ADDIN ZOTERO_ITEM CSL_CITATION {"citationID":"a2h36rolncj","properties":{"formattedCitation":"(Norton Rose Fulbright 2016; International Council for Commercial Arbitration 2018; Dafe and Williams 2020)","plainCitation":"(Norton Rose Fulbright 2016; International Council for Commercial Arbitration 2018; Dafe and Williams 2020)","noteIndex":0},"citationItems":[{"id":1940,"uris":["http://zotero.org/users/local/oXQBh7r1/items/X3IZT3VX"],"uri":["http://zotero.org/users/local/oXQBh7r1/items/X3IZT3VX"],"itemData":{"id":1940,"type":"webpage","title":"International Arbitration Report","URL":"http://www.nortonrosefulbright.com/files/international-arbitration-report-issue-7-142408.pdf","author":[{"family":"Norton Rose Fulbright","given":""}],"accessed":{"date-parts":[["2017",5,8]]},"issued":{"date-parts":[["2016",9]]}}},{"id":5793,"uris":["http://zotero.org/users/local/oXQBh7r1/items/D4BYKIUJ"],"uri":["http://zotero.org/users/local/oXQBh7r1/items/D4BYKIUJ"],"itemData":{"id":5793,"type":"book","ISBN":"978-94-92405-10-4","language":"en","note":"OCLC: 1041143231","source":"Open WorldCat","title":"Report of the ICCA-Queen Mary Task Force on third-party funding in international arbitration","URL":"http://www.kluwerarbitration.com/book-toc?title=ICCA%20Reports%20No.%204%3A%20Report%20of%20the%20ICCA-Queen%20Mary%20Task%20Force%20on%20Third-Party%20Funding%20in%20International%20Arbitration","author":[{"literal":"International Council for Commercial Arbitration"}],"accessed":{"date-parts":[["2020",5,20]]},"issued":{"date-parts":[["2018"]]}}},{"id":6775,"uris":["http://zotero.org/users/local/oXQBh7r1/items/D73MTSRJ"],"uri":["http://zotero.org/users/local/oXQBh7r1/items/D73MTSRJ"],"itemData":{"id":6775,"type":"article-journal","abstract":"In this paper, we explore the drivers of the rise of third-party funding (TPF) in investor-state arbitration. TPF involves financiers shouldering the legal fees of an investment treaty claim against a sovereign state in exchange for a share of any eventual award. Existing research has highlighted how TPF may exacerbate the inequities inherent to a legal regime that is already weighted in favor of private interests by increasing investors’ access to funding of their legal claims, but the factors which gave rise to TPF are little understood. We argue that financialization helps to explain both the spread and the characteristics of TPF. In particular, the evidence presented in this paper suggests that the large supply of investable capital that is searching for profitable investment opportunities helps to account for the rise of TPF. The analysis provides the basis for broader propositions and a research agenda about the ways in which financialization alters the logics of an international legal regime and aligns the interests of different private agents, both of which may change the public-private balance in investor-state arbitration and affect its legitimacy.","container-title":"Review of International Political Economy","DOI":"10.1080/09692290.2020.1764378","ISSN":"0969-2290, 1466-4526","journalAbbreviation":"Review of International Political Economy","language":"en","page":"1-23","source":"DOI.org (Crossref)","title":"Banking on courts: financialization and the rise of third-party funding in investment arbitration","title-short":"Banking on courts","author":[{"family":"Dafe","given":"Florence"},{"family":"Williams","given":"Zoe"}],"issued":{"date-parts":[["2020",5,13]]}}}],"schema":"https://github.com/citation-style-language/schema/raw/master/csl-citation.json"} </w:instrText>
      </w:r>
      <w:r w:rsidRPr="003A37FF">
        <w:fldChar w:fldCharType="separate"/>
      </w:r>
      <w:r w:rsidRPr="003A37FF">
        <w:t xml:space="preserve">(Norton Rose Fulbright 2016; International Council for </w:t>
      </w:r>
      <w:r w:rsidRPr="003A37FF">
        <w:lastRenderedPageBreak/>
        <w:t>Commercial Arbitration 2018; Dafe and Williams 2020)</w:t>
      </w:r>
      <w:r w:rsidRPr="003A37FF">
        <w:fldChar w:fldCharType="end"/>
      </w:r>
      <w:r w:rsidRPr="003A37FF">
        <w:t xml:space="preserve">. A crisis outside the legal sphere led foreign actors to seek arbitrage opportunities: the recession motivated big financial investors to start looking for new avenues to extend their influence and boost their profits. The ideal opportunities from a financial perspective would not only be those that provide high returns but also those that are generally going to be uncorrelated with a declining market. ISDS goes one better as legal claims tend to get a boost from crises. Governments may be forced to nationalize industries or put in new unforeseen regulatory measures, which could then fall under the broad scope of a BIT violation. </w:t>
      </w:r>
    </w:p>
    <w:p w14:paraId="3CF730F6" w14:textId="230824E9" w:rsidR="00A46DAD" w:rsidRPr="003A37FF" w:rsidRDefault="00A46DAD" w:rsidP="00F00DAA">
      <w:pPr>
        <w:spacing w:line="480" w:lineRule="auto"/>
        <w:ind w:firstLine="720"/>
        <w:rPr>
          <w:color w:val="000000" w:themeColor="text1"/>
        </w:rPr>
      </w:pPr>
      <w:r w:rsidRPr="003A37FF">
        <w:t>Funds like Burford and Calunius, while gaining ground pre-crisis, then saw a surge of money coming their way. Richard Fields, CEO of Juridica Capital Management summarized the situation, “</w:t>
      </w:r>
      <w:r w:rsidRPr="003A37FF">
        <w:rPr>
          <w:color w:val="000000" w:themeColor="text1"/>
        </w:rPr>
        <w:t xml:space="preserve"> When the recession started to bite, the phones started ringing off the hook” </w:t>
      </w:r>
      <w:r w:rsidRPr="003A37FF">
        <w:rPr>
          <w:color w:val="000000" w:themeColor="text1"/>
        </w:rPr>
        <w:fldChar w:fldCharType="begin"/>
      </w:r>
      <w:r w:rsidRPr="003A37FF">
        <w:rPr>
          <w:color w:val="000000" w:themeColor="text1"/>
        </w:rPr>
        <w:instrText xml:space="preserve"> ADDIN ZOTERO_ITEM CSL_CITATION {"citationID":"BqICvhlL","properties":{"formattedCitation":"(Glater 2009)","plainCitation":"(Glater 2009)","noteIndex":0},"citationItems":[{"id":4234,"uris":["http://zotero.org/users/local/oXQBh7r1/items/KH78JSHC"],"uri":["http://zotero.org/users/local/oXQBh7r1/items/KH78JSHC"],"itemData":{"id":4234,"type":"webpage","container-title":"New York Times","title":"Investors Finance Lawsuits and Reap Any Benefits","URL":"https://www.nytimes.com/2009/06/03/business/03litigate.html","author":[{"family":"Glater","given":"Jonathan D."}],"accessed":{"date-parts":[["2018",8,9]]},"issued":{"date-parts":[["2009",6,2]]}}}],"schema":"https://github.com/citation-style-language/schema/raw/master/csl-citation.json"} </w:instrText>
      </w:r>
      <w:r w:rsidRPr="003A37FF">
        <w:rPr>
          <w:color w:val="000000" w:themeColor="text1"/>
        </w:rPr>
        <w:fldChar w:fldCharType="separate"/>
      </w:r>
      <w:r w:rsidRPr="003A37FF">
        <w:rPr>
          <w:noProof/>
          <w:color w:val="000000" w:themeColor="text1"/>
        </w:rPr>
        <w:t>(Glater 2009)</w:t>
      </w:r>
      <w:r w:rsidRPr="003A37FF">
        <w:rPr>
          <w:color w:val="000000" w:themeColor="text1"/>
        </w:rPr>
        <w:fldChar w:fldCharType="end"/>
      </w:r>
      <w:r w:rsidRPr="003A37FF">
        <w:rPr>
          <w:color w:val="000000" w:themeColor="text1"/>
        </w:rPr>
        <w:t xml:space="preserve">. James Tyrell, a partner at Squire Patton Boggs who appears to regularly counsel both Burford and Juridica affirmed that the uptick in interest was the search for new forms of yield: “There’s a lot of money out there that’s looking to find a home” </w:t>
      </w:r>
      <w:r w:rsidRPr="003A37FF">
        <w:rPr>
          <w:color w:val="000000" w:themeColor="text1"/>
        </w:rPr>
        <w:fldChar w:fldCharType="begin"/>
      </w:r>
      <w:r w:rsidRPr="003A37FF">
        <w:rPr>
          <w:color w:val="000000" w:themeColor="text1"/>
        </w:rPr>
        <w:instrText xml:space="preserve"> ADDIN ZOTERO_ITEM CSL_CITATION {"citationID":"Wwy4omoC","properties":{"formattedCitation":"(Corporate Europe Observatory 2012)","plainCitation":"(Corporate Europe Observatory 2012)","noteIndex":0},"citationItems":[{"id":4228,"uris":["http://zotero.org/users/local/oXQBh7r1/items/HG9IF7DR"],"uri":["http://zotero.org/users/local/oXQBh7r1/items/HG9IF7DR"],"itemData":{"id":4228,"type":"webpage","abstract":"The whole theory is to take the legal system and turn it into a stock market.John H. Beisner, Skadden, Arps, Slate, Meagher &amp; Flom[fn]Alden, William (2012) Looking to Make a Profit on Lawsuits, Firms Invest in Them, New York Times, 30 April. [/fn]","container-title":"Corporate Europe Observatory","language":"en","title":"Chapter 5: Speculating on injustice: Third-party funding of investment disputes","title-short":"Chapter 5","URL":"https://corporateeurope.org/trade/2012/11/chapter-5-speculating-injustice-third-party-funding-investment-disputes","author":[{"family":"Corporate Europe Observatory","given":""}],"accessed":{"date-parts":[["2018",8,9]]},"issued":{"date-parts":[["2012",11,27]]}}}],"schema":"https://github.com/citation-style-language/schema/raw/master/csl-citation.json"} </w:instrText>
      </w:r>
      <w:r w:rsidRPr="003A37FF">
        <w:rPr>
          <w:color w:val="000000" w:themeColor="text1"/>
        </w:rPr>
        <w:fldChar w:fldCharType="separate"/>
      </w:r>
      <w:r w:rsidRPr="003A37FF">
        <w:rPr>
          <w:noProof/>
          <w:color w:val="000000" w:themeColor="text1"/>
        </w:rPr>
        <w:t>(Corporate Europe Observatory 2012)</w:t>
      </w:r>
      <w:r w:rsidRPr="003A37FF">
        <w:rPr>
          <w:color w:val="000000" w:themeColor="text1"/>
        </w:rPr>
        <w:fldChar w:fldCharType="end"/>
      </w:r>
      <w:r w:rsidRPr="003A37FF">
        <w:rPr>
          <w:color w:val="000000" w:themeColor="text1"/>
        </w:rPr>
        <w:t>. As TPF generally became more popular post-crisis, the financialization of ISDS followed. Claims were on the rise in the 2000s as more countries signed BITs and firms learned of their new global property rights. But the post crisis-era saw a substantial uptick in claims, as depicted in Figure 3. Considering most firms would have significantly fewer internal resources to spend on legal fees given the global crisis, the trend suggests the important role that TPF may be playing in changes to the use of the regime overall.</w:t>
      </w:r>
    </w:p>
    <w:p w14:paraId="5DD94888" w14:textId="13B96031" w:rsidR="00A46DAD" w:rsidRPr="003A37FF" w:rsidRDefault="00A46DAD" w:rsidP="008C2312">
      <w:pPr>
        <w:spacing w:line="480" w:lineRule="auto"/>
        <w:jc w:val="center"/>
        <w:rPr>
          <w:color w:val="000000" w:themeColor="text1"/>
        </w:rPr>
      </w:pPr>
      <w:r w:rsidRPr="003A37FF">
        <w:rPr>
          <w:noProof/>
          <w:color w:val="000000" w:themeColor="text1"/>
        </w:rPr>
        <w:lastRenderedPageBreak/>
        <w:drawing>
          <wp:inline distT="0" distB="0" distL="0" distR="0" wp14:anchorId="6F6E743B" wp14:editId="3926773E">
            <wp:extent cx="4038600" cy="4038600"/>
            <wp:effectExtent l="0" t="0" r="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38600" cy="4038600"/>
                    </a:xfrm>
                    <a:prstGeom prst="rect">
                      <a:avLst/>
                    </a:prstGeom>
                  </pic:spPr>
                </pic:pic>
              </a:graphicData>
            </a:graphic>
          </wp:inline>
        </w:drawing>
      </w:r>
    </w:p>
    <w:p w14:paraId="00E8D994" w14:textId="2A583679" w:rsidR="00A46DAD" w:rsidRPr="003A37FF" w:rsidRDefault="00A46DAD" w:rsidP="00706558">
      <w:pPr>
        <w:spacing w:line="480" w:lineRule="auto"/>
        <w:rPr>
          <w:i/>
        </w:rPr>
      </w:pPr>
      <w:r w:rsidRPr="003A37FF">
        <w:rPr>
          <w:i/>
        </w:rPr>
        <w:t>Bringing in actors from the investment regime</w:t>
      </w:r>
    </w:p>
    <w:p w14:paraId="55FD7832" w14:textId="18CBD898" w:rsidR="00A46DAD" w:rsidRPr="003A37FF" w:rsidRDefault="00A46DAD" w:rsidP="00B0478E">
      <w:pPr>
        <w:spacing w:line="480" w:lineRule="auto"/>
        <w:ind w:firstLine="720"/>
        <w:rPr>
          <w:color w:val="000000" w:themeColor="text1"/>
        </w:rPr>
      </w:pPr>
      <w:r w:rsidRPr="003A37FF">
        <w:t xml:space="preserve">But even if actors in a different field spot a new opportunity, in line with our expectations, they need to be able to make links with established players to take advantage of it. They need collaborators with expertise who understand the local field practices. Once again, the 2008 crisis primed the legal community to take part in the new TPF schemes. When such a big shock affects the economy, business needs to quickly cut costs. One of the first routes is to get rid of expensive law firms kept on retainer. At the same time, economic decline generally reduces the amount of work law firms need to do for their big corporate clients. Major mergers and acquisitions dry up and companies are not looking to issue new bonds or stock. </w:t>
      </w:r>
      <w:r>
        <w:t>T</w:t>
      </w:r>
      <w:r w:rsidRPr="003A37FF">
        <w:t xml:space="preserve">he bread and butter of big law is thrown off the table, unsettling professional trajectories. As the New York Times reported, </w:t>
      </w:r>
      <w:r w:rsidRPr="003A37FF">
        <w:rPr>
          <w:color w:val="000000" w:themeColor="text1"/>
        </w:rPr>
        <w:t xml:space="preserve">“Juridica outlined some of the motivations for both law firms and </w:t>
      </w:r>
      <w:r w:rsidRPr="003A37FF">
        <w:rPr>
          <w:color w:val="000000" w:themeColor="text1"/>
        </w:rPr>
        <w:lastRenderedPageBreak/>
        <w:t xml:space="preserve">companies to look for outside funding in its 2008 annual report: ‘Traditional sources of hourly billing in the corporate and transactional business have diminished, leading law firms to cut lawyers and staff at a rate never seen in the modern legal market.’” </w:t>
      </w:r>
      <w:r w:rsidRPr="003A37FF">
        <w:rPr>
          <w:color w:val="000000" w:themeColor="text1"/>
        </w:rPr>
        <w:fldChar w:fldCharType="begin"/>
      </w:r>
      <w:r w:rsidRPr="003A37FF">
        <w:rPr>
          <w:color w:val="000000" w:themeColor="text1"/>
        </w:rPr>
        <w:instrText xml:space="preserve"> ADDIN ZOTERO_ITEM CSL_CITATION {"citationID":"0UwzlPKO","properties":{"formattedCitation":"(Glater 2009)","plainCitation":"(Glater 2009)","noteIndex":0},"citationItems":[{"id":4234,"uris":["http://zotero.org/users/local/oXQBh7r1/items/KH78JSHC"],"uri":["http://zotero.org/users/local/oXQBh7r1/items/KH78JSHC"],"itemData":{"id":4234,"type":"webpage","container-title":"New York Times","title":"Investors Finance Lawsuits and Reap Any Benefits","URL":"https://www.nytimes.com/2009/06/03/business/03litigate.html","author":[{"family":"Glater","given":"Jonathan D."}],"accessed":{"date-parts":[["2018",8,9]]},"issued":{"date-parts":[["2009",6,2]]}}}],"schema":"https://github.com/citation-style-language/schema/raw/master/csl-citation.json"} </w:instrText>
      </w:r>
      <w:r w:rsidRPr="003A37FF">
        <w:rPr>
          <w:color w:val="000000" w:themeColor="text1"/>
        </w:rPr>
        <w:fldChar w:fldCharType="separate"/>
      </w:r>
      <w:r w:rsidRPr="003A37FF">
        <w:rPr>
          <w:noProof/>
          <w:color w:val="000000" w:themeColor="text1"/>
        </w:rPr>
        <w:t>(Glater 2009)</w:t>
      </w:r>
      <w:r w:rsidRPr="003A37FF">
        <w:rPr>
          <w:color w:val="000000" w:themeColor="text1"/>
        </w:rPr>
        <w:fldChar w:fldCharType="end"/>
      </w:r>
      <w:r w:rsidRPr="003A37FF">
        <w:rPr>
          <w:color w:val="000000" w:themeColor="text1"/>
        </w:rPr>
        <w:t xml:space="preserve">. </w:t>
      </w:r>
      <w:r w:rsidRPr="003A37FF">
        <w:t>Armed with capital waiting to be deployed, third-party funders could directly help fill these gaps, providing the necessary gains for effective cross-field coalitions between foreigners and collaborators.</w:t>
      </w:r>
    </w:p>
    <w:p w14:paraId="02AF04A7" w14:textId="5F4110D0" w:rsidR="00A46DAD" w:rsidRPr="003A37FF" w:rsidRDefault="00A46DAD" w:rsidP="005C5CC2">
      <w:pPr>
        <w:spacing w:line="480" w:lineRule="auto"/>
        <w:ind w:firstLine="720"/>
        <w:rPr>
          <w:color w:val="000000" w:themeColor="text1"/>
        </w:rPr>
      </w:pPr>
      <w:r w:rsidRPr="003A37FF">
        <w:rPr>
          <w:color w:val="000000" w:themeColor="text1"/>
        </w:rPr>
        <w:t xml:space="preserve">The decline in earnings then conditioned lawyers to look for ways to boost the number of cases they were working on, and TPF provided an effective new route. The crisis also forced many industry professionals to look for innovative lines of work to keep billing hours up but also to raise their profiles in the industry – increasing your caseload during market turbulence is a particularly attractive status signal. The likes of Burford and Juridica were able to poach a number of lawyers from the investment regime, offering lucrative and interesting work. </w:t>
      </w:r>
    </w:p>
    <w:p w14:paraId="51050215" w14:textId="736DF997" w:rsidR="00A46DAD" w:rsidRPr="003A37FF" w:rsidRDefault="00A46DAD" w:rsidP="005C5CC2">
      <w:pPr>
        <w:spacing w:line="480" w:lineRule="auto"/>
        <w:ind w:firstLine="720"/>
        <w:rPr>
          <w:color w:val="000000" w:themeColor="text1"/>
        </w:rPr>
      </w:pPr>
      <w:r w:rsidRPr="003A37FF">
        <w:rPr>
          <w:color w:val="000000" w:themeColor="text1"/>
        </w:rPr>
        <w:t xml:space="preserve">Lawyers are an essential ingredient to running an effective TPF firm. They have the tacit legal knowledge to assess whether or not a case is likely to be a winner and to gauge what an effective settlement would be. This is a conventional, if often informal, practice that lawyers conduct throughout their client engagements. The other important feature is to manage the financial outlays for each case against the different expected time frames for return – a standard task in portfolio management. Rather than the creation of de novo financial technologies, as </w:t>
      </w:r>
      <w:r>
        <w:rPr>
          <w:color w:val="000000" w:themeColor="text1"/>
        </w:rPr>
        <w:t xml:space="preserve">per a standard </w:t>
      </w:r>
      <w:r w:rsidRPr="003A37FF">
        <w:rPr>
          <w:color w:val="000000" w:themeColor="text1"/>
        </w:rPr>
        <w:t>technological shock</w:t>
      </w:r>
      <w:r>
        <w:rPr>
          <w:color w:val="000000" w:themeColor="text1"/>
        </w:rPr>
        <w:t xml:space="preserve"> argument</w:t>
      </w:r>
      <w:r w:rsidRPr="003A37FF">
        <w:rPr>
          <w:color w:val="000000" w:themeColor="text1"/>
        </w:rPr>
        <w:t xml:space="preserve">, the financialization of ISDS required the combination of practices from different fields.  </w:t>
      </w:r>
    </w:p>
    <w:p w14:paraId="792C3708" w14:textId="2BDF53F2" w:rsidR="00A46DAD" w:rsidRPr="003A37FF" w:rsidRDefault="00A46DAD" w:rsidP="005C5CC2">
      <w:pPr>
        <w:spacing w:line="480" w:lineRule="auto"/>
        <w:ind w:firstLine="720"/>
        <w:rPr>
          <w:color w:val="000000" w:themeColor="text1"/>
        </w:rPr>
      </w:pPr>
      <w:r w:rsidRPr="003A37FF">
        <w:rPr>
          <w:color w:val="000000" w:themeColor="text1"/>
        </w:rPr>
        <w:t xml:space="preserve">But the lawyers are not just key to picking the optimal cases to invest in. </w:t>
      </w:r>
      <w:r>
        <w:rPr>
          <w:color w:val="000000" w:themeColor="text1"/>
        </w:rPr>
        <w:t>U</w:t>
      </w:r>
      <w:r w:rsidRPr="003A37FF">
        <w:rPr>
          <w:color w:val="000000" w:themeColor="text1"/>
        </w:rPr>
        <w:t xml:space="preserve">nderscoring the importance of social dynamics, they also serve as the entry point into the professional networks vital to the investment regime. Selvyn Seidel is the Founder and CEO of the TPF fund Fullbrook Management. But he cut his teeth as a former partner at New York legal giant Latham </w:t>
      </w:r>
      <w:r w:rsidRPr="003A37FF">
        <w:rPr>
          <w:color w:val="000000" w:themeColor="text1"/>
        </w:rPr>
        <w:lastRenderedPageBreak/>
        <w:t xml:space="preserve">&amp; Watkins. He has openly stated that his ties to law firms “have been a big help to us” </w:t>
      </w:r>
      <w:r w:rsidRPr="003A37FF">
        <w:rPr>
          <w:color w:val="000000" w:themeColor="text1"/>
        </w:rPr>
        <w:fldChar w:fldCharType="begin"/>
      </w:r>
      <w:r w:rsidRPr="003A37FF">
        <w:rPr>
          <w:color w:val="000000" w:themeColor="text1"/>
        </w:rPr>
        <w:instrText xml:space="preserve"> ADDIN ZOTERO_ITEM CSL_CITATION {"citationID":"tF8L8VYF","properties":{"formattedCitation":"(Corporate Europe Observatory 2012)","plainCitation":"(Corporate Europe Observatory 2012)","noteIndex":0},"citationItems":[{"id":4228,"uris":["http://zotero.org/users/local/oXQBh7r1/items/HG9IF7DR"],"uri":["http://zotero.org/users/local/oXQBh7r1/items/HG9IF7DR"],"itemData":{"id":4228,"type":"webpage","abstract":"The whole theory is to take the legal system and turn it into a stock market.John H. Beisner, Skadden, Arps, Slate, Meagher &amp; Flom[fn]Alden, William (2012) Looking to Make a Profit on Lawsuits, Firms Invest in Them, New York Times, 30 April. [/fn]","container-title":"Corporate Europe Observatory","language":"en","title":"Chapter 5: Speculating on injustice: Third-party funding of investment disputes","title-short":"Chapter 5","URL":"https://corporateeurope.org/trade/2012/11/chapter-5-speculating-injustice-third-party-funding-investment-disputes","author":[{"family":"Corporate Europe Observatory","given":""}],"accessed":{"date-parts":[["2018",8,9]]},"issued":{"date-parts":[["2012",11,27]]}}}],"schema":"https://github.com/citation-style-language/schema/raw/master/csl-citation.json"} </w:instrText>
      </w:r>
      <w:r w:rsidRPr="003A37FF">
        <w:rPr>
          <w:color w:val="000000" w:themeColor="text1"/>
        </w:rPr>
        <w:fldChar w:fldCharType="separate"/>
      </w:r>
      <w:r w:rsidRPr="003A37FF">
        <w:rPr>
          <w:noProof/>
          <w:color w:val="000000" w:themeColor="text1"/>
        </w:rPr>
        <w:t>(Corporate Europe Observatory 2012)</w:t>
      </w:r>
      <w:r w:rsidRPr="003A37FF">
        <w:rPr>
          <w:color w:val="000000" w:themeColor="text1"/>
        </w:rPr>
        <w:fldChar w:fldCharType="end"/>
      </w:r>
      <w:r w:rsidRPr="003A37FF">
        <w:rPr>
          <w:color w:val="000000" w:themeColor="text1"/>
        </w:rPr>
        <w:t xml:space="preserve">. Mick Smith is the head of Calunius but in his previous professional life was a partner at Magic Circle firm Freshfields Bruckhaus Deringer. He is on record saying, “The relationships I made there are still important and they’re my first port of call” </w:t>
      </w:r>
      <w:r w:rsidRPr="003A37FF">
        <w:rPr>
          <w:color w:val="000000" w:themeColor="text1"/>
        </w:rPr>
        <w:fldChar w:fldCharType="begin"/>
      </w:r>
      <w:r w:rsidRPr="003A37FF">
        <w:rPr>
          <w:color w:val="000000" w:themeColor="text1"/>
        </w:rPr>
        <w:instrText xml:space="preserve"> ADDIN ZOTERO_ITEM CSL_CITATION {"citationID":"dO5va627","properties":{"formattedCitation":"(Corporate Europe Observatory 2012)","plainCitation":"(Corporate Europe Observatory 2012)","noteIndex":0},"citationItems":[{"id":4228,"uris":["http://zotero.org/users/local/oXQBh7r1/items/HG9IF7DR"],"uri":["http://zotero.org/users/local/oXQBh7r1/items/HG9IF7DR"],"itemData":{"id":4228,"type":"webpage","abstract":"The whole theory is to take the legal system and turn it into a stock market.John H. Beisner, Skadden, Arps, Slate, Meagher &amp; Flom[fn]Alden, William (2012) Looking to Make a Profit on Lawsuits, Firms Invest in Them, New York Times, 30 April. [/fn]","container-title":"Corporate Europe Observatory","language":"en","title":"Chapter 5: Speculating on injustice: Third-party funding of investment disputes","title-short":"Chapter 5","URL":"https://corporateeurope.org/trade/2012/11/chapter-5-speculating-injustice-third-party-funding-investment-disputes","author":[{"family":"Corporate Europe Observatory","given":""}],"accessed":{"date-parts":[["2018",8,9]]},"issued":{"date-parts":[["2012",11,27]]}}}],"schema":"https://github.com/citation-style-language/schema/raw/master/csl-citation.json"} </w:instrText>
      </w:r>
      <w:r w:rsidRPr="003A37FF">
        <w:rPr>
          <w:color w:val="000000" w:themeColor="text1"/>
        </w:rPr>
        <w:fldChar w:fldCharType="separate"/>
      </w:r>
      <w:r w:rsidRPr="003A37FF">
        <w:rPr>
          <w:noProof/>
          <w:color w:val="000000" w:themeColor="text1"/>
        </w:rPr>
        <w:t>(Corporate Europe Observatory 2012)</w:t>
      </w:r>
      <w:r w:rsidRPr="003A37FF">
        <w:rPr>
          <w:color w:val="000000" w:themeColor="text1"/>
        </w:rPr>
        <w:fldChar w:fldCharType="end"/>
      </w:r>
      <w:r w:rsidRPr="003A37FF">
        <w:rPr>
          <w:color w:val="000000" w:themeColor="text1"/>
        </w:rPr>
        <w:t xml:space="preserve">. Adrian Chopin, another former legal partner (at Allen &amp; Overy), and now head of Bench Walk Advisors, summarized the social nature of the market: “it’s still a chummy market…everyone knows everyone” </w:t>
      </w:r>
      <w:r w:rsidRPr="003A37FF">
        <w:rPr>
          <w:color w:val="000000" w:themeColor="text1"/>
        </w:rPr>
        <w:fldChar w:fldCharType="begin"/>
      </w:r>
      <w:r w:rsidRPr="003A37FF">
        <w:rPr>
          <w:color w:val="000000" w:themeColor="text1"/>
        </w:rPr>
        <w:instrText xml:space="preserve"> ADDIN ZOTERO_ITEM CSL_CITATION {"citationID":"DTsrrOyN","properties":{"formattedCitation":"(Strickler 2017)","plainCitation":"(Strickler 2017)","noteIndex":0},"citationItems":[{"id":4235,"uris":["http://zotero.org/users/local/oXQBh7r1/items/JXRCEBWV"],"uri":["http://zotero.org/users/local/oXQBh7r1/items/JXRCEBWV"],"itemData":{"id":4235,"type":"article-newspaper","container-title":"Law360","title":"Why Investors are taking the Leap to 3-rd Party Funding","author":[{"family":"Strickler","given":"Andrew"}],"issued":{"date-parts":[["2017",12,11]]}}}],"schema":"https://github.com/citation-style-language/schema/raw/master/csl-citation.json"} </w:instrText>
      </w:r>
      <w:r w:rsidRPr="003A37FF">
        <w:rPr>
          <w:color w:val="000000" w:themeColor="text1"/>
        </w:rPr>
        <w:fldChar w:fldCharType="separate"/>
      </w:r>
      <w:r w:rsidRPr="003A37FF">
        <w:rPr>
          <w:noProof/>
          <w:color w:val="000000" w:themeColor="text1"/>
        </w:rPr>
        <w:t>(Strickler 2017)</w:t>
      </w:r>
      <w:r w:rsidRPr="003A37FF">
        <w:rPr>
          <w:color w:val="000000" w:themeColor="text1"/>
        </w:rPr>
        <w:fldChar w:fldCharType="end"/>
      </w:r>
      <w:r w:rsidRPr="003A37FF">
        <w:rPr>
          <w:color w:val="000000" w:themeColor="text1"/>
        </w:rPr>
        <w:t xml:space="preserve">. In other words, pre-crisis legal networks laid a foundation for the eventual growth of TPF. </w:t>
      </w:r>
    </w:p>
    <w:p w14:paraId="72980882" w14:textId="7B20BA9D" w:rsidR="00A46DAD" w:rsidRPr="003A37FF" w:rsidRDefault="00A46DAD" w:rsidP="00C15CCF">
      <w:pPr>
        <w:spacing w:line="480" w:lineRule="auto"/>
        <w:ind w:firstLine="720"/>
        <w:rPr>
          <w:color w:val="000000" w:themeColor="text1"/>
        </w:rPr>
      </w:pPr>
      <w:r w:rsidRPr="003A37FF">
        <w:rPr>
          <w:color w:val="000000" w:themeColor="text1"/>
        </w:rPr>
        <w:t xml:space="preserve">The publicly traded Burford Capital is now the biggest player in the broader TPF industry: in 2018 the fund invested more than a billion dollars in the full gamut of legal cases. Heralded for its corporate diversity measures, Burford was the fastest growing stock in all of the London Stock exchange until it came under attack by short sellers who questioned the underlying viability of the TPF business model. The fund was started in 2009 by Christopher Bogart and Jonathan Molot. Bogart rose to prominence at Big Law behemoth Cravath, Swaine &amp; Moore before taking on several legal and executive functions at Time Warner. Molot, a Georgetown Law Professor, was one of the earliest proponents of TPF and founded Litigation Risk Solutions LLC as a consulting firm for the first players trying to financialize the law. They now serve as Chief Executive Officer and Chief Invest Officer, respectively. </w:t>
      </w:r>
    </w:p>
    <w:p w14:paraId="79031516" w14:textId="3F09005C" w:rsidR="00A46DAD" w:rsidRPr="003A37FF" w:rsidRDefault="00A46DAD" w:rsidP="00C15CCF">
      <w:pPr>
        <w:spacing w:line="480" w:lineRule="auto"/>
        <w:ind w:firstLine="720"/>
        <w:rPr>
          <w:color w:val="000000" w:themeColor="text1"/>
        </w:rPr>
      </w:pPr>
      <w:r w:rsidRPr="003A37FF">
        <w:rPr>
          <w:color w:val="000000" w:themeColor="text1"/>
        </w:rPr>
        <w:t xml:space="preserve">The rest of Burford’s leadership team is a mix of established financial and legal professionals. Three traditional finance veterans from major American and British firms, and a former director of Credit Suisse constitute the bulk of the team. It is rounded off by a legal technology expert. The litigation finance department, at the time of writing, is 55 people strong with close to 70% coming from the legal regime and 30% from the financial world. They </w:t>
      </w:r>
      <w:r w:rsidRPr="003A37FF">
        <w:rPr>
          <w:color w:val="000000" w:themeColor="text1"/>
        </w:rPr>
        <w:lastRenderedPageBreak/>
        <w:t xml:space="preserve">encompass the elite of both professions. Lawyers were formerly employed in senior positions at major firms like Debevoise, Herbert Smith, Freshfields, and Fried Frank. Portfolio managers and risk analysts came directly from big wall street banks like Morgan Stanley, JP Morgan, and Bank of America. Burford’s constitution is a microcosm of the larger industry patterns. Of the 35 other third-party financing firms we were able to identify, each was helmed by either a veteran of the litigation or investment industry, with the core leadership teams often comprised of individuals with skillsets from the two complimentary regimes.  </w:t>
      </w:r>
    </w:p>
    <w:p w14:paraId="0D67ACAE" w14:textId="31A43D1D" w:rsidR="00A46DAD" w:rsidRPr="003A37FF" w:rsidRDefault="00A46DAD" w:rsidP="00211AD8">
      <w:pPr>
        <w:spacing w:line="480" w:lineRule="auto"/>
        <w:ind w:firstLine="720"/>
        <w:rPr>
          <w:color w:val="000000" w:themeColor="text1"/>
        </w:rPr>
      </w:pPr>
      <w:r w:rsidRPr="003A37FF">
        <w:rPr>
          <w:color w:val="000000" w:themeColor="text1"/>
        </w:rPr>
        <w:t xml:space="preserve">  The 2008 crisis pushed investors into new lines of business as they searched for different forms of yield. The litigation funding market, and ISDS in particular, presented the ideal opportunity to use the funds, but traditional financial players needed collaborators with the legal credentials and connections in order to break in. The links with law firms, and specifically bringing in partners from firms that were also searching for new business in a crisis environment, then lead to the rapid development of the new industry. But with the tools and networks cemented, they would still need to find willing participants. </w:t>
      </w:r>
      <w:r>
        <w:rPr>
          <w:color w:val="000000" w:themeColor="text1"/>
        </w:rPr>
        <w:t>F</w:t>
      </w:r>
      <w:r w:rsidRPr="003A37FF">
        <w:rPr>
          <w:color w:val="000000" w:themeColor="text1"/>
        </w:rPr>
        <w:t xml:space="preserve">inancialization provided the opportunities for TPF to alter corporate strategy and the broader investment regime. </w:t>
      </w:r>
    </w:p>
    <w:p w14:paraId="4617827E" w14:textId="77777777" w:rsidR="00A46DAD" w:rsidRPr="003A37FF" w:rsidRDefault="00A46DAD" w:rsidP="00211AD8">
      <w:pPr>
        <w:spacing w:line="480" w:lineRule="auto"/>
        <w:ind w:firstLine="720"/>
        <w:rPr>
          <w:color w:val="000000" w:themeColor="text1"/>
        </w:rPr>
      </w:pPr>
    </w:p>
    <w:p w14:paraId="0EF60739" w14:textId="13B6DE06" w:rsidR="00A46DAD" w:rsidRPr="003A37FF" w:rsidRDefault="00A46DAD" w:rsidP="00274629">
      <w:pPr>
        <w:spacing w:line="480" w:lineRule="auto"/>
        <w:rPr>
          <w:i/>
          <w:color w:val="000000" w:themeColor="text1"/>
        </w:rPr>
      </w:pPr>
      <w:r w:rsidRPr="003A37FF">
        <w:rPr>
          <w:i/>
          <w:color w:val="000000" w:themeColor="text1"/>
        </w:rPr>
        <w:t>Getting Claimant Buy-In</w:t>
      </w:r>
    </w:p>
    <w:p w14:paraId="6183C563" w14:textId="343C4226" w:rsidR="004A6109" w:rsidRPr="003A37FF" w:rsidRDefault="00A46DAD" w:rsidP="00AD23E8">
      <w:pPr>
        <w:spacing w:line="480" w:lineRule="auto"/>
        <w:ind w:firstLine="720"/>
      </w:pPr>
      <w:r w:rsidRPr="003A37FF">
        <w:t xml:space="preserve">TPF players working on private litigation or public law cases use a David and Goliath framing to naturalize their work. They provide the capital for small struggling firms whose rights have been violated by a foreign leviathan. In this way, they argue that they are both promoting access to justice and making the marketplace for law more efficient </w:t>
      </w:r>
      <w:r w:rsidRPr="003A37FF">
        <w:fldChar w:fldCharType="begin"/>
      </w:r>
      <w:r w:rsidRPr="003A37FF">
        <w:instrText xml:space="preserve"> ADDIN ZOTERO_ITEM CSL_CITATION {"citationID":"PqC9BszI","properties":{"formattedCitation":"(Santosuosso and Scarlett 2018)","plainCitation":"(Santosuosso and Scarlett 2018)","noteIndex":0},"citationItems":[{"id":4160,"uris":["http://zotero.org/users/local/oXQBh7r1/items/F96S3Q88"],"uri":["http://zotero.org/users/local/oXQBh7r1/items/F96S3Q88"],"itemData":{"id":4160,"type":"article-journal","container-title":"Boston College Law School Law and Justice in the Americas Working Paper No. 8","source":"Google Scholar","title":"Third-Party Funding in Investment Arbitration: Misappropriation of Access to Justice Rhetoric by Global Speculative Finance","title-short":"Third-Party Funding in Investment Arbitration","author":[{"family":"Santosuosso","given":"Tara"},{"family":"Scarlett","given":"Randall"}],"issued":{"date-parts":[["2018"]]}}}],"schema":"https://github.com/citation-style-language/schema/raw/master/csl-citation.json"} </w:instrText>
      </w:r>
      <w:r w:rsidRPr="003A37FF">
        <w:fldChar w:fldCharType="separate"/>
      </w:r>
      <w:r w:rsidRPr="003A37FF">
        <w:rPr>
          <w:noProof/>
        </w:rPr>
        <w:t>(Santosuosso and Scarlett 2018)</w:t>
      </w:r>
      <w:r w:rsidRPr="003A37FF">
        <w:fldChar w:fldCharType="end"/>
      </w:r>
      <w:r w:rsidRPr="003A37FF">
        <w:t xml:space="preserve">. Their rigorous screening processes mean that cases with the least legal merit will be discarded. TPF employ legal advisors to find potential claimants and inform them of their rights </w:t>
      </w:r>
      <w:r w:rsidRPr="003A37FF">
        <w:lastRenderedPageBreak/>
        <w:t>and the potential harm that has been done to them.</w:t>
      </w:r>
      <w:r w:rsidRPr="003A37FF">
        <w:rPr>
          <w:rStyle w:val="EndnoteReference"/>
        </w:rPr>
        <w:endnoteReference w:id="5"/>
      </w:r>
      <w:r w:rsidRPr="003A37FF">
        <w:t xml:space="preserve"> </w:t>
      </w:r>
      <w:r w:rsidR="00D87AE6" w:rsidRPr="003A37FF">
        <w:t>T</w:t>
      </w:r>
      <w:r w:rsidR="00FA0B49" w:rsidRPr="003A37FF">
        <w:t>hey not only provide the resources necessary for the claim to proceed but also may motivate firms to bring suit.</w:t>
      </w:r>
    </w:p>
    <w:p w14:paraId="6943082F" w14:textId="51D3FDEC" w:rsidR="00165888" w:rsidRPr="003A37FF" w:rsidRDefault="004A6109" w:rsidP="00AD23E8">
      <w:pPr>
        <w:spacing w:line="480" w:lineRule="auto"/>
      </w:pPr>
      <w:r w:rsidRPr="003A37FF">
        <w:tab/>
        <w:t xml:space="preserve">This public-facing narrative </w:t>
      </w:r>
      <w:r w:rsidR="00CF0008" w:rsidRPr="003A37FF">
        <w:t>embeds</w:t>
      </w:r>
      <w:r w:rsidR="00CD4821" w:rsidRPr="003A37FF">
        <w:t xml:space="preserve"> the financialization process within legitimate norms of </w:t>
      </w:r>
      <w:r w:rsidR="00CF0008" w:rsidRPr="003A37FF">
        <w:t xml:space="preserve">the </w:t>
      </w:r>
      <w:r w:rsidR="00CD4821" w:rsidRPr="003A37FF">
        <w:t xml:space="preserve">broader legal sphere. </w:t>
      </w:r>
      <w:r w:rsidR="00AD23E8" w:rsidRPr="003A37FF">
        <w:t>Using access to justice rhetoric</w:t>
      </w:r>
      <w:r w:rsidR="005E2C18" w:rsidRPr="003A37FF">
        <w:t>, which is well established in the legal field</w:t>
      </w:r>
      <w:r w:rsidR="0045070B" w:rsidRPr="003A37FF">
        <w:t xml:space="preserve"> </w:t>
      </w:r>
      <w:r w:rsidR="0045070B" w:rsidRPr="003A37FF">
        <w:fldChar w:fldCharType="begin"/>
      </w:r>
      <w:r w:rsidR="00EE4102" w:rsidRPr="003A37FF">
        <w:instrText xml:space="preserve"> ADDIN ZOTERO_ITEM CSL_CITATION {"citationID":"a28kg36020v","properties":{"formattedCitation":"(Cappelletti and Garth 1977)","plainCitation":"(Cappelletti and Garth 1977)","noteIndex":0},"citationItems":[{"id":5796,"uris":["http://zotero.org/users/local/oXQBh7r1/items/9TYK2AW3"],"uri":["http://zotero.org/users/local/oXQBh7r1/items/9TYK2AW3"],"itemData":{"id":5796,"type":"article-journal","container-title":"Buff. L. Rev.","note":"publisher: HeinOnline","page":"181","source":"Google Scholar","title":"Access to justice: the newest wave in the worldwide movement to make rights effective","title-short":"Access to justice","volume":"27","author":[{"family":"Cappelletti","given":"Mauro"},{"family":"Garth","given":"Bryant"}],"issued":{"date-parts":[["1977"]]}}}],"schema":"https://github.com/citation-style-language/schema/raw/master/csl-citation.json"} </w:instrText>
      </w:r>
      <w:r w:rsidR="0045070B" w:rsidRPr="003A37FF">
        <w:fldChar w:fldCharType="separate"/>
      </w:r>
      <w:r w:rsidR="00EE4102" w:rsidRPr="003A37FF">
        <w:t>(Cappelletti and Garth 1977)</w:t>
      </w:r>
      <w:r w:rsidR="0045070B" w:rsidRPr="003A37FF">
        <w:fldChar w:fldCharType="end"/>
      </w:r>
      <w:r w:rsidR="005E2C18" w:rsidRPr="003A37FF">
        <w:t>,</w:t>
      </w:r>
      <w:r w:rsidR="00AD23E8" w:rsidRPr="003A37FF">
        <w:t xml:space="preserve"> allows </w:t>
      </w:r>
      <w:r w:rsidR="005E2C18" w:rsidRPr="003A37FF">
        <w:t xml:space="preserve">funders </w:t>
      </w:r>
      <w:r w:rsidR="00AD23E8" w:rsidRPr="003A37FF">
        <w:t>to combat criticism that they are motivating frivolous lawsuits or drumming up legal claims.</w:t>
      </w:r>
      <w:r w:rsidR="005E2C18" w:rsidRPr="003A37FF">
        <w:t xml:space="preserve"> The ICCA task force</w:t>
      </w:r>
      <w:r w:rsidR="004A6F7F" w:rsidRPr="003A37FF">
        <w:t xml:space="preserve"> </w:t>
      </w:r>
      <w:r w:rsidR="004A6F7F" w:rsidRPr="003A37FF">
        <w:fldChar w:fldCharType="begin"/>
      </w:r>
      <w:r w:rsidR="00EE4102" w:rsidRPr="003A37FF">
        <w:instrText xml:space="preserve"> ADDIN ZOTERO_ITEM CSL_CITATION {"citationID":"a1no85goom1","properties":{"formattedCitation":"(2018, 42)","plainCitation":"(2018, 42)","noteIndex":0},"citationItems":[{"id":5793,"uris":["http://zotero.org/users/local/oXQBh7r1/items/D4BYKIUJ"],"uri":["http://zotero.org/users/local/oXQBh7r1/items/D4BYKIUJ"],"itemData":{"id":5793,"type":"book","ISBN":"978-94-92405-10-4","language":"en","note":"OCLC: 1041143231","source":"Open WorldCat","title":"Report of the ICCA-Queen Mary Task Force on third-party funding in international arbitration","URL":"http://www.kluwerarbitration.com/book-toc?title=ICCA%20Reports%20No.%204%3A%20Report%20of%20the%20ICCA-Queen%20Mary%20Task%20Force%20on%20Third-Party%20Funding%20in%20International%20Arbitration","author":[{"literal":"International Council for Commercial Arbitration"}],"accessed":{"date-parts":[["2020",5,20]]},"issued":{"date-parts":[["2018"]]}},"locator":"42","suppress-author":true}],"schema":"https://github.com/citation-style-language/schema/raw/master/csl-citation.json"} </w:instrText>
      </w:r>
      <w:r w:rsidR="004A6F7F" w:rsidRPr="003A37FF">
        <w:fldChar w:fldCharType="separate"/>
      </w:r>
      <w:r w:rsidR="00EE4102" w:rsidRPr="003A37FF">
        <w:t>(2018, 42)</w:t>
      </w:r>
      <w:r w:rsidR="004A6F7F" w:rsidRPr="003A37FF">
        <w:fldChar w:fldCharType="end"/>
      </w:r>
      <w:r w:rsidR="004A6F7F" w:rsidRPr="003A37FF">
        <w:t xml:space="preserve"> </w:t>
      </w:r>
      <w:r w:rsidR="005E2C18" w:rsidRPr="003A37FF">
        <w:t xml:space="preserve">reviewing industry trends, </w:t>
      </w:r>
      <w:r w:rsidR="00D87AE6" w:rsidRPr="003A37FF">
        <w:t xml:space="preserve">however, </w:t>
      </w:r>
      <w:r w:rsidR="005E2C18" w:rsidRPr="003A37FF">
        <w:t>suggests a more targeted focus on a “relatively small volume of very large commercial disputes and portfolios</w:t>
      </w:r>
      <w:r w:rsidR="004949D1" w:rsidRPr="003A37FF">
        <w:t>.</w:t>
      </w:r>
      <w:r w:rsidR="005E2C18" w:rsidRPr="003A37FF">
        <w:t>”</w:t>
      </w:r>
      <w:r w:rsidR="004949D1" w:rsidRPr="003A37FF">
        <w:t xml:space="preserve"> In a set of focus groups organized as part of the task force deliberations, the participants concluded that “it is misplaced to assert that for these kinds of non-impecunious claimants </w:t>
      </w:r>
      <w:r w:rsidR="00FB0A44" w:rsidRPr="003A37FF">
        <w:t>third-party</w:t>
      </w:r>
      <w:r w:rsidR="004949D1" w:rsidRPr="003A37FF">
        <w:t xml:space="preserve"> funding is necessary for access to justice</w:t>
      </w:r>
      <w:r w:rsidR="0045070B" w:rsidRPr="003A37FF">
        <w:t>”</w:t>
      </w:r>
      <w:r w:rsidR="004949D1" w:rsidRPr="003A37FF">
        <w:t xml:space="preserve"> </w:t>
      </w:r>
      <w:r w:rsidR="004A6F7F" w:rsidRPr="003A37FF">
        <w:fldChar w:fldCharType="begin"/>
      </w:r>
      <w:r w:rsidR="00EE4102" w:rsidRPr="003A37FF">
        <w:instrText xml:space="preserve"> ADDIN ZOTERO_ITEM CSL_CITATION {"citationID":"a1ccls60qiu","properties":{"formattedCitation":"(International Council for Commercial Arbitration 2018, 237)","plainCitation":"(International Council for Commercial Arbitration 2018, 237)","noteIndex":0},"citationItems":[{"id":5793,"uris":["http://zotero.org/users/local/oXQBh7r1/items/D4BYKIUJ"],"uri":["http://zotero.org/users/local/oXQBh7r1/items/D4BYKIUJ"],"itemData":{"id":5793,"type":"book","ISBN":"978-94-92405-10-4","language":"en","note":"OCLC: 1041143231","source":"Open WorldCat","title":"Report of the ICCA-Queen Mary Task Force on third-party funding in international arbitration","URL":"http://www.kluwerarbitration.com/book-toc?title=ICCA%20Reports%20No.%204%3A%20Report%20of%20the%20ICCA-Queen%20Mary%20Task%20Force%20on%20Third-Party%20Funding%20in%20International%20Arbitration","author":[{"literal":"International Council for Commercial Arbitration"}],"accessed":{"date-parts":[["2020",5,20]]},"issued":{"date-parts":[["2018"]]}},"locator":"237"}],"schema":"https://github.com/citation-style-language/schema/raw/master/csl-citation.json"} </w:instrText>
      </w:r>
      <w:r w:rsidR="004A6F7F" w:rsidRPr="003A37FF">
        <w:fldChar w:fldCharType="separate"/>
      </w:r>
      <w:r w:rsidR="00EE4102" w:rsidRPr="003A37FF">
        <w:t>(International Council for Commercial Arbitration 2018, 237)</w:t>
      </w:r>
      <w:r w:rsidR="004A6F7F" w:rsidRPr="003A37FF">
        <w:fldChar w:fldCharType="end"/>
      </w:r>
      <w:r w:rsidR="004A6F7F" w:rsidRPr="003A37FF">
        <w:t>.</w:t>
      </w:r>
      <w:r w:rsidR="00AD23E8" w:rsidRPr="003A37FF">
        <w:t xml:space="preserve"> </w:t>
      </w:r>
      <w:r w:rsidR="00165888" w:rsidRPr="003A37FF">
        <w:rPr>
          <w:color w:val="000000" w:themeColor="text1"/>
        </w:rPr>
        <w:t>In a review of such framing strategies</w:t>
      </w:r>
      <w:r w:rsidR="005E2C18" w:rsidRPr="003A37FF">
        <w:rPr>
          <w:color w:val="000000" w:themeColor="text1"/>
        </w:rPr>
        <w:t>,</w:t>
      </w:r>
      <w:r w:rsidR="0045070B" w:rsidRPr="003A37FF">
        <w:rPr>
          <w:color w:val="000000" w:themeColor="text1"/>
        </w:rPr>
        <w:t xml:space="preserve"> </w:t>
      </w:r>
      <w:r w:rsidR="0045070B" w:rsidRPr="003A37FF">
        <w:rPr>
          <w:u w:val="dash"/>
        </w:rPr>
        <w:t>Santosuosso and Scarlett</w:t>
      </w:r>
      <w:r w:rsidR="005E2C18" w:rsidRPr="003A37FF">
        <w:rPr>
          <w:color w:val="000000" w:themeColor="text1"/>
        </w:rPr>
        <w:t xml:space="preserve"> </w:t>
      </w:r>
      <w:r w:rsidR="00165888" w:rsidRPr="003A37FF">
        <w:fldChar w:fldCharType="begin"/>
      </w:r>
      <w:r w:rsidR="00EE4102" w:rsidRPr="003A37FF">
        <w:instrText xml:space="preserve"> ADDIN ZOTERO_ITEM CSL_CITATION {"citationID":"a2mlk0teodl","properties":{"formattedCitation":"(2018, 3)","plainCitation":"(2018, 3)","noteIndex":0},"citationItems":[{"id":4160,"uris":["http://zotero.org/users/local/oXQBh7r1/items/F96S3Q88"],"uri":["http://zotero.org/users/local/oXQBh7r1/items/F96S3Q88"],"itemData":{"id":4160,"type":"article-journal","container-title":"Boston College Law School Law and Justice in the Americas Working Paper No. 8","source":"Google Scholar","title":"Third-Party Funding in Investment Arbitration: Misappropriation of Access to Justice Rhetoric by Global Speculative Finance","title-short":"Third-Party Funding in Investment Arbitration","author":[{"family":"Santosuosso","given":"Tara"},{"family":"Scarlett","given":"Randall"}],"issued":{"date-parts":[["2018"]]}},"locator":"3","suppress-author":true}],"schema":"https://github.com/citation-style-language/schema/raw/master/csl-citation.json"} </w:instrText>
      </w:r>
      <w:r w:rsidR="00165888" w:rsidRPr="003A37FF">
        <w:fldChar w:fldCharType="separate"/>
      </w:r>
      <w:r w:rsidR="00EE4102" w:rsidRPr="003A37FF">
        <w:t>(2018, 3)</w:t>
      </w:r>
      <w:r w:rsidR="00165888" w:rsidRPr="003A37FF">
        <w:fldChar w:fldCharType="end"/>
      </w:r>
      <w:r w:rsidR="00165888" w:rsidRPr="003A37FF">
        <w:t xml:space="preserve"> </w:t>
      </w:r>
      <w:r w:rsidR="00165888" w:rsidRPr="003A37FF">
        <w:rPr>
          <w:color w:val="000000" w:themeColor="text1"/>
        </w:rPr>
        <w:t>c</w:t>
      </w:r>
      <w:r w:rsidR="00D87AE6" w:rsidRPr="003A37FF">
        <w:rPr>
          <w:color w:val="000000" w:themeColor="text1"/>
        </w:rPr>
        <w:t>ame</w:t>
      </w:r>
      <w:r w:rsidR="00165888" w:rsidRPr="003A37FF">
        <w:rPr>
          <w:color w:val="000000" w:themeColor="text1"/>
        </w:rPr>
        <w:t xml:space="preserve"> to a cynical conclusion</w:t>
      </w:r>
      <w:r w:rsidR="005E2C18" w:rsidRPr="003A37FF">
        <w:rPr>
          <w:color w:val="000000" w:themeColor="text1"/>
        </w:rPr>
        <w:t xml:space="preserve"> that</w:t>
      </w:r>
      <w:r w:rsidR="00165888" w:rsidRPr="003A37FF">
        <w:rPr>
          <w:color w:val="000000" w:themeColor="text1"/>
        </w:rPr>
        <w:t>, “</w:t>
      </w:r>
      <w:r w:rsidR="00165888" w:rsidRPr="003A37FF">
        <w:t xml:space="preserve">Proponents of TPF in the ISDS context have hijacked this rhetoric to justify speculation on investment claims with far-reaching financial implications for disadvantaged and developing states.” </w:t>
      </w:r>
    </w:p>
    <w:p w14:paraId="4B8BABA0" w14:textId="31E9B1C7" w:rsidR="00CD4821" w:rsidRPr="003A37FF" w:rsidRDefault="00D87AE6" w:rsidP="00812EDF">
      <w:pPr>
        <w:spacing w:line="480" w:lineRule="auto"/>
        <w:ind w:firstLine="720"/>
      </w:pPr>
      <w:r w:rsidRPr="003A37FF">
        <w:t xml:space="preserve">At the same time, </w:t>
      </w:r>
      <w:r w:rsidR="004A6109" w:rsidRPr="003A37FF">
        <w:t xml:space="preserve">TPF players </w:t>
      </w:r>
      <w:r w:rsidR="00CF0008" w:rsidRPr="003A37FF">
        <w:t>pitch</w:t>
      </w:r>
      <w:r w:rsidR="004A6109" w:rsidRPr="003A37FF">
        <w:t xml:space="preserve"> their </w:t>
      </w:r>
      <w:r w:rsidR="004649B5" w:rsidRPr="003A37FF">
        <w:t xml:space="preserve">value </w:t>
      </w:r>
      <w:r w:rsidRPr="003A37FF">
        <w:t>differently</w:t>
      </w:r>
      <w:r w:rsidR="004A6109" w:rsidRPr="003A37FF">
        <w:t xml:space="preserve"> toward</w:t>
      </w:r>
      <w:r w:rsidRPr="003A37FF">
        <w:t>s</w:t>
      </w:r>
      <w:r w:rsidR="004A6109" w:rsidRPr="003A37FF">
        <w:t xml:space="preserve"> incumbent players</w:t>
      </w:r>
      <w:r w:rsidR="00CD4821" w:rsidRPr="003A37FF">
        <w:t xml:space="preserve"> within ISDS</w:t>
      </w:r>
      <w:r w:rsidR="004A6109" w:rsidRPr="003A37FF">
        <w:t xml:space="preserve"> </w:t>
      </w:r>
      <w:r w:rsidR="00CD4821" w:rsidRPr="003A37FF">
        <w:t>who they need to team up with</w:t>
      </w:r>
      <w:r w:rsidR="004A6109" w:rsidRPr="003A37FF">
        <w:t>. As we expect, financialization is reframed in order to fi</w:t>
      </w:r>
      <w:r w:rsidR="00CD4821" w:rsidRPr="003A37FF">
        <w:t>t</w:t>
      </w:r>
      <w:r w:rsidR="004A6109" w:rsidRPr="003A37FF">
        <w:t xml:space="preserve"> the </w:t>
      </w:r>
      <w:r w:rsidR="00CD4821" w:rsidRPr="003A37FF">
        <w:t>interests of incumbents</w:t>
      </w:r>
      <w:r w:rsidR="00BB72F4" w:rsidRPr="003A37FF">
        <w:t xml:space="preserve"> in the legal field</w:t>
      </w:r>
      <w:r w:rsidR="00CD4821" w:rsidRPr="003A37FF">
        <w:t xml:space="preserve">. For the lawyers, as detailed in the previous section, the process promises an increased </w:t>
      </w:r>
      <w:r w:rsidR="00847A47" w:rsidRPr="003A37FF">
        <w:t>caseload</w:t>
      </w:r>
      <w:r w:rsidR="00043CDF" w:rsidRPr="003A37FF">
        <w:t xml:space="preserve"> and status within the legal world</w:t>
      </w:r>
      <w:r w:rsidR="00CD4821" w:rsidRPr="003A37FF">
        <w:t>. For claimants, TPF can resonate with an existing set of ideas and practices that have been triggered by prior waves of financialization.</w:t>
      </w:r>
      <w:r w:rsidR="00CD4821" w:rsidRPr="003A37FF">
        <w:rPr>
          <w:color w:val="000000" w:themeColor="text1"/>
        </w:rPr>
        <w:t xml:space="preserve"> </w:t>
      </w:r>
    </w:p>
    <w:p w14:paraId="0707F6EB" w14:textId="59618058" w:rsidR="00043CDF" w:rsidRPr="003A37FF" w:rsidRDefault="00CD4821" w:rsidP="00AD23E8">
      <w:pPr>
        <w:spacing w:line="480" w:lineRule="auto"/>
        <w:rPr>
          <w:color w:val="000000" w:themeColor="text1"/>
        </w:rPr>
      </w:pPr>
      <w:r w:rsidRPr="003A37FF">
        <w:rPr>
          <w:color w:val="000000" w:themeColor="text1"/>
        </w:rPr>
        <w:tab/>
      </w:r>
      <w:r w:rsidR="005B44AF" w:rsidRPr="003A37FF">
        <w:rPr>
          <w:color w:val="000000" w:themeColor="text1"/>
        </w:rPr>
        <w:t xml:space="preserve">Just </w:t>
      </w:r>
      <w:r w:rsidR="007B2395" w:rsidRPr="003A37FF">
        <w:rPr>
          <w:color w:val="000000" w:themeColor="text1"/>
        </w:rPr>
        <w:t xml:space="preserve">as </w:t>
      </w:r>
      <w:r w:rsidR="005B44AF" w:rsidRPr="003A37FF">
        <w:rPr>
          <w:color w:val="000000" w:themeColor="text1"/>
        </w:rPr>
        <w:t xml:space="preserve">the 2008 crisis cut into law firm profits, it also left conventional industrial firms struggling. </w:t>
      </w:r>
      <w:r w:rsidR="007B2395" w:rsidRPr="003A37FF">
        <w:rPr>
          <w:color w:val="000000" w:themeColor="text1"/>
        </w:rPr>
        <w:t xml:space="preserve">Reducing </w:t>
      </w:r>
      <w:r w:rsidR="005B44AF" w:rsidRPr="003A37FF">
        <w:rPr>
          <w:color w:val="000000" w:themeColor="text1"/>
        </w:rPr>
        <w:t>legal costs by diminish</w:t>
      </w:r>
      <w:r w:rsidR="007E798F" w:rsidRPr="003A37FF">
        <w:rPr>
          <w:color w:val="000000" w:themeColor="text1"/>
        </w:rPr>
        <w:t>ing</w:t>
      </w:r>
      <w:r w:rsidR="005B44AF" w:rsidRPr="003A37FF">
        <w:rPr>
          <w:color w:val="000000" w:themeColor="text1"/>
        </w:rPr>
        <w:t xml:space="preserve"> reliance on big law was one path, but so was internal downsizing. As</w:t>
      </w:r>
      <w:r w:rsidR="009765BB" w:rsidRPr="003A37FF">
        <w:rPr>
          <w:color w:val="000000" w:themeColor="text1"/>
        </w:rPr>
        <w:t xml:space="preserve"> the firm</w:t>
      </w:r>
      <w:r w:rsidR="005B44AF" w:rsidRPr="003A37FF">
        <w:rPr>
          <w:color w:val="000000" w:themeColor="text1"/>
        </w:rPr>
        <w:t xml:space="preserve"> </w:t>
      </w:r>
      <w:r w:rsidR="009765BB" w:rsidRPr="003A37FF">
        <w:rPr>
          <w:color w:val="000000" w:themeColor="text1"/>
        </w:rPr>
        <w:t>Borden Ladner Gervais</w:t>
      </w:r>
      <w:r w:rsidR="005B44AF" w:rsidRPr="003A37FF">
        <w:rPr>
          <w:i/>
          <w:color w:val="000000" w:themeColor="text1"/>
        </w:rPr>
        <w:t xml:space="preserve"> </w:t>
      </w:r>
      <w:r w:rsidR="005B44AF" w:rsidRPr="003A37FF">
        <w:rPr>
          <w:color w:val="000000" w:themeColor="text1"/>
        </w:rPr>
        <w:t>reported, th</w:t>
      </w:r>
      <w:r w:rsidR="00FF7807" w:rsidRPr="003A37FF">
        <w:rPr>
          <w:color w:val="000000" w:themeColor="text1"/>
        </w:rPr>
        <w:t xml:space="preserve">is was a new opening for </w:t>
      </w:r>
      <w:r w:rsidR="00FF7807" w:rsidRPr="003A37FF">
        <w:rPr>
          <w:color w:val="000000" w:themeColor="text1"/>
        </w:rPr>
        <w:lastRenderedPageBreak/>
        <w:t>TPF: “</w:t>
      </w:r>
      <w:r w:rsidR="005B44AF" w:rsidRPr="003A37FF">
        <w:rPr>
          <w:color w:val="000000" w:themeColor="text1"/>
        </w:rPr>
        <w:t>Following the 2008 financial crisis, corporate legal budgets contracted, allowing the arbitration and litigation finance ind</w:t>
      </w:r>
      <w:r w:rsidR="009765BB" w:rsidRPr="003A37FF">
        <w:rPr>
          <w:color w:val="000000" w:themeColor="text1"/>
        </w:rPr>
        <w:t>ustry correspondingly to expand</w:t>
      </w:r>
      <w:r w:rsidR="005B44AF" w:rsidRPr="003A37FF">
        <w:rPr>
          <w:color w:val="000000" w:themeColor="text1"/>
        </w:rPr>
        <w:t>”</w:t>
      </w:r>
      <w:r w:rsidR="009765BB"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{"citationID":"MHwGbQg9","properties":{"formattedCitation":"(Chiasson and Parsons 2013)","plainCitation":"(Chiasson and Parsons 2013)","noteIndex":0},"citationItems":[{"id":4237,"uris":["http://zotero.org/users/local/oXQBh7r1/items/AVJ6M2BP"],"uri":["http://zotero.org/users/local/oXQBh7r1/items/AVJ6M2BP"],"itemData":{"id":4237,"type":"webpage","abstract":"Many businesses with strong claims are hesitant to pursue their legal remedies because of the high costs and significant risks of litigation and…","container-title":"Lexology","language":"en","title":"Financing disputes – the third-party funding option","URL":"https://www.lexology.com/library/detail.aspx?g=6f314b6a-e32a-4d6b-8ffb-2942e2f2b6ac","author":[{"family":"Chiasson","given":"Borden Ladner Gervais LLP-Craig"},{"family":"Parsons","given":"Hunter"}],"accessed":{"date-parts":[["2018",8,9]]},"issued":{"date-parts":[["2013",12,9]]}}}],"schema":"https://github.com/citation-style-language/schema/raw/master/csl-citation.json"}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(Chiasson and Parsons 2013)</w:t>
      </w:r>
      <w:r w:rsidR="009765BB" w:rsidRPr="003A37FF">
        <w:rPr>
          <w:color w:val="000000" w:themeColor="text1"/>
        </w:rPr>
        <w:fldChar w:fldCharType="end"/>
      </w:r>
      <w:r w:rsidR="009765BB" w:rsidRPr="003A37FF">
        <w:rPr>
          <w:color w:val="000000" w:themeColor="text1"/>
        </w:rPr>
        <w:t>.</w:t>
      </w:r>
      <w:r w:rsidR="005B44AF" w:rsidRPr="003A37FF">
        <w:rPr>
          <w:color w:val="000000" w:themeColor="text1"/>
        </w:rPr>
        <w:t xml:space="preserve"> </w:t>
      </w:r>
    </w:p>
    <w:p w14:paraId="10159CEC" w14:textId="6A5F5865" w:rsidR="005B44AF" w:rsidRPr="003A37FF" w:rsidRDefault="00CD4821" w:rsidP="00812EDF">
      <w:pPr>
        <w:spacing w:line="480" w:lineRule="auto"/>
        <w:ind w:firstLine="720"/>
        <w:rPr>
          <w:color w:val="000000" w:themeColor="text1"/>
        </w:rPr>
      </w:pPr>
      <w:r w:rsidRPr="003A37FF">
        <w:rPr>
          <w:color w:val="000000" w:themeColor="text1"/>
        </w:rPr>
        <w:t xml:space="preserve">But these non-financial corporations did not </w:t>
      </w:r>
      <w:r w:rsidR="00F013DD" w:rsidRPr="003A37FF">
        <w:rPr>
          <w:color w:val="000000" w:themeColor="text1"/>
        </w:rPr>
        <w:t>drive</w:t>
      </w:r>
      <w:r w:rsidRPr="003A37FF">
        <w:rPr>
          <w:color w:val="000000" w:themeColor="text1"/>
        </w:rPr>
        <w:t xml:space="preserve"> the growth of the market, as a</w:t>
      </w:r>
      <w:r w:rsidR="00FB4346" w:rsidRPr="003A37FF">
        <w:rPr>
          <w:color w:val="000000" w:themeColor="text1"/>
        </w:rPr>
        <w:t>n</w:t>
      </w:r>
      <w:r w:rsidRPr="003A37FF">
        <w:rPr>
          <w:color w:val="000000" w:themeColor="text1"/>
        </w:rPr>
        <w:t xml:space="preserve"> </w:t>
      </w:r>
      <w:r w:rsidR="00847A47" w:rsidRPr="003A37FF">
        <w:rPr>
          <w:color w:val="000000" w:themeColor="text1"/>
        </w:rPr>
        <w:t>ideological</w:t>
      </w:r>
      <w:r w:rsidR="00F013DD" w:rsidRPr="003A37FF">
        <w:rPr>
          <w:color w:val="000000" w:themeColor="text1"/>
        </w:rPr>
        <w:t xml:space="preserve"> account of regime change</w:t>
      </w:r>
      <w:r w:rsidR="00113A85" w:rsidRPr="003A37FF">
        <w:rPr>
          <w:color w:val="000000" w:themeColor="text1"/>
        </w:rPr>
        <w:t xml:space="preserve"> would expect</w:t>
      </w:r>
      <w:r w:rsidRPr="003A37FF">
        <w:rPr>
          <w:color w:val="000000" w:themeColor="text1"/>
        </w:rPr>
        <w:t>. They did not have the means or the knowledge to fully develop TPF even if they had the incentives. Instead the cross-field coalitions</w:t>
      </w:r>
      <w:r w:rsidR="00347589" w:rsidRPr="003A37FF">
        <w:rPr>
          <w:color w:val="000000" w:themeColor="text1"/>
        </w:rPr>
        <w:t>,</w:t>
      </w:r>
      <w:r w:rsidRPr="003A37FF">
        <w:rPr>
          <w:color w:val="000000" w:themeColor="text1"/>
        </w:rPr>
        <w:t xml:space="preserve"> </w:t>
      </w:r>
      <w:r w:rsidR="00347589" w:rsidRPr="003A37FF">
        <w:rPr>
          <w:color w:val="000000" w:themeColor="text1"/>
        </w:rPr>
        <w:t>which</w:t>
      </w:r>
      <w:r w:rsidRPr="003A37FF">
        <w:rPr>
          <w:color w:val="000000" w:themeColor="text1"/>
        </w:rPr>
        <w:t xml:space="preserve"> we argue led to the </w:t>
      </w:r>
      <w:r w:rsidR="00347589" w:rsidRPr="003A37FF">
        <w:rPr>
          <w:color w:val="000000" w:themeColor="text1"/>
        </w:rPr>
        <w:t>financialization of ISDS,</w:t>
      </w:r>
      <w:r w:rsidRPr="003A37FF">
        <w:rPr>
          <w:color w:val="000000" w:themeColor="text1"/>
        </w:rPr>
        <w:t xml:space="preserve"> needed to effectively pitch their</w:t>
      </w:r>
      <w:r w:rsidR="00113A85" w:rsidRPr="003A37FF">
        <w:rPr>
          <w:color w:val="000000" w:themeColor="text1"/>
        </w:rPr>
        <w:t xml:space="preserve"> practices</w:t>
      </w:r>
      <w:r w:rsidRPr="003A37FF">
        <w:rPr>
          <w:color w:val="000000" w:themeColor="text1"/>
        </w:rPr>
        <w:t xml:space="preserve"> by showing how </w:t>
      </w:r>
      <w:r w:rsidR="00113A85" w:rsidRPr="003A37FF">
        <w:rPr>
          <w:color w:val="000000" w:themeColor="text1"/>
        </w:rPr>
        <w:t>they</w:t>
      </w:r>
      <w:r w:rsidRPr="003A37FF">
        <w:rPr>
          <w:color w:val="000000" w:themeColor="text1"/>
        </w:rPr>
        <w:t xml:space="preserve"> </w:t>
      </w:r>
      <w:r w:rsidR="00113A85" w:rsidRPr="003A37FF">
        <w:rPr>
          <w:color w:val="000000" w:themeColor="text1"/>
        </w:rPr>
        <w:t>resonated</w:t>
      </w:r>
      <w:r w:rsidRPr="003A37FF">
        <w:rPr>
          <w:color w:val="000000" w:themeColor="text1"/>
        </w:rPr>
        <w:t xml:space="preserve"> with </w:t>
      </w:r>
      <w:r w:rsidR="00113A85" w:rsidRPr="003A37FF">
        <w:rPr>
          <w:color w:val="000000" w:themeColor="text1"/>
        </w:rPr>
        <w:t>local</w:t>
      </w:r>
      <w:r w:rsidRPr="003A37FF">
        <w:rPr>
          <w:color w:val="000000" w:themeColor="text1"/>
        </w:rPr>
        <w:t xml:space="preserve"> </w:t>
      </w:r>
      <w:r w:rsidR="00113A85" w:rsidRPr="003A37FF">
        <w:rPr>
          <w:color w:val="000000" w:themeColor="text1"/>
        </w:rPr>
        <w:t>needs</w:t>
      </w:r>
      <w:r w:rsidRPr="003A37FF">
        <w:rPr>
          <w:color w:val="000000" w:themeColor="text1"/>
        </w:rPr>
        <w:t xml:space="preserve">. </w:t>
      </w:r>
      <w:r w:rsidR="005B44AF" w:rsidRPr="003A37FF">
        <w:rPr>
          <w:color w:val="000000" w:themeColor="text1"/>
        </w:rPr>
        <w:t>Th</w:t>
      </w:r>
      <w:r w:rsidRPr="003A37FF">
        <w:rPr>
          <w:color w:val="000000" w:themeColor="text1"/>
        </w:rPr>
        <w:t xml:space="preserve">is </w:t>
      </w:r>
      <w:r w:rsidR="005B44AF" w:rsidRPr="003A37FF">
        <w:rPr>
          <w:color w:val="000000" w:themeColor="text1"/>
        </w:rPr>
        <w:t>sentiment was echoed by a DC-based lawyer</w:t>
      </w:r>
      <w:r w:rsidR="00277A23" w:rsidRPr="003A37FF">
        <w:rPr>
          <w:color w:val="000000" w:themeColor="text1"/>
        </w:rPr>
        <w:t xml:space="preserve"> when discussing the growth of the broader TPF industry:</w:t>
      </w:r>
      <w:r w:rsidR="00113A85" w:rsidRPr="003A37FF">
        <w:rPr>
          <w:color w:val="000000" w:themeColor="text1"/>
        </w:rPr>
        <w:t xml:space="preserve"> </w:t>
      </w:r>
      <w:r w:rsidR="0045070B" w:rsidRPr="003A37FF">
        <w:rPr>
          <w:color w:val="000000" w:themeColor="text1"/>
        </w:rPr>
        <w:sym w:font="Symbol" w:char="F0BE"/>
      </w:r>
      <w:r w:rsidR="00113A85" w:rsidRPr="003A37FF">
        <w:rPr>
          <w:color w:val="000000" w:themeColor="text1"/>
        </w:rPr>
        <w:t xml:space="preserve"> </w:t>
      </w:r>
      <w:r w:rsidR="005B44AF" w:rsidRPr="003A37FF">
        <w:rPr>
          <w:color w:val="000000" w:themeColor="text1"/>
        </w:rPr>
        <w:t>without the links between the invest</w:t>
      </w:r>
      <w:r w:rsidR="00823CA9" w:rsidRPr="003A37FF">
        <w:rPr>
          <w:color w:val="000000" w:themeColor="text1"/>
        </w:rPr>
        <w:t>ment</w:t>
      </w:r>
      <w:r w:rsidR="005B44AF" w:rsidRPr="003A37FF">
        <w:rPr>
          <w:color w:val="000000" w:themeColor="text1"/>
        </w:rPr>
        <w:t xml:space="preserve"> regime actors and the finance professional network, information asymmetries would have stymied growth: </w:t>
      </w:r>
    </w:p>
    <w:p w14:paraId="479FF417" w14:textId="3B42BBC1" w:rsidR="00274629" w:rsidRPr="003A37FF" w:rsidRDefault="005B44AF" w:rsidP="00823CA9">
      <w:pPr>
        <w:rPr>
          <w:color w:val="000000" w:themeColor="text1"/>
        </w:rPr>
      </w:pPr>
      <w:r w:rsidRPr="003A37FF">
        <w:rPr>
          <w:color w:val="000000" w:themeColor="text1"/>
        </w:rPr>
        <w:t>In the last few years, companies are saying ‘we don’t have the money in our budgets’ or ‘we don’t want to deduct the money from our bottom line,’’ he told BNA. ‘‘We tell them we’ll take the case on partial, not full contingency. We tell the company they need to find additional funding sources to share the risk. Some already know about third-party funders. We let others know about the funders.</w:t>
      </w:r>
      <w:r w:rsidR="009765BB"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{"citationID":"O80LQtIH","properties":{"formattedCitation":"(Lindeman 2010)","plainCitation":"(Lindeman 2010)","noteIndex":0},"citationItems":[{"id":4241,"uris":["http://zotero.org/users/local/oXQBh7r1/items/TQ9XI7HZ"],"uri":["http://zotero.org/users/local/oXQBh7r1/items/TQ9XI7HZ"],"itemData":{"id":4241,"type":"webpage","abstract":"BNA: Daily Report for Executives, Vol. 0, No. 42 March 5, 2010 Ralph Lindeman With traditional sources of credit in short supply, corporate plaintiffs and law firms are turning to outside investors to help bankroll multimillion dollar commercial lawsuits in a variety of areas, including patent infringement, antitrust, and international arbitration. Legal experts say the …","container-title":"Fulbrook Capital Management LLC","title":"Third-Party Investors Offer New Funding Source for Major Commercial Lawsuits","URL":"https://fulbrookmanagement.com/third-party-investors-offer-new-funding-source-for-major-commercial-lawsuits/","author":[{"family":"Lindeman","given":"Ralph"}],"accessed":{"date-parts":[["2018",8,9]]},"issued":{"date-parts":[["2010",3,10]]}}}],"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(Lindeman 2010)</w:t>
      </w:r>
      <w:r w:rsidR="009765BB" w:rsidRPr="003A37FF">
        <w:rPr>
          <w:color w:val="000000" w:themeColor="text1"/>
        </w:rPr>
        <w:fldChar w:fldCharType="end"/>
      </w:r>
    </w:p>
    <w:p w14:paraId="2A13CAD8" w14:textId="77777777" w:rsidR="00823CA9" w:rsidRPr="003A37FF" w:rsidRDefault="00823CA9" w:rsidP="00823CA9">
      <w:pPr>
        <w:rPr>
          <w:color w:val="000000" w:themeColor="text1"/>
        </w:rPr>
      </w:pPr>
    </w:p>
    <w:p w14:paraId="798DFAD0" w14:textId="0AC466B1" w:rsidR="00F43631" w:rsidRPr="003A37FF" w:rsidRDefault="00A61EF9" w:rsidP="00B0478E">
      <w:pPr>
        <w:spacing w:line="480" w:lineRule="auto"/>
        <w:ind w:firstLine="720"/>
      </w:pPr>
      <w:r>
        <w:t>O</w:t>
      </w:r>
      <w:r w:rsidR="008C53C7" w:rsidRPr="003A37FF">
        <w:t xml:space="preserve">nce TPF entered the space to promote its use, </w:t>
      </w:r>
      <w:r w:rsidR="00973A05" w:rsidRPr="003A37FF">
        <w:t>increased fina</w:t>
      </w:r>
      <w:r w:rsidR="00787BB3" w:rsidRPr="003A37FF">
        <w:t>n</w:t>
      </w:r>
      <w:r w:rsidR="00973A05" w:rsidRPr="003A37FF">
        <w:t>c</w:t>
      </w:r>
      <w:r w:rsidR="00787BB3" w:rsidRPr="003A37FF">
        <w:t>i</w:t>
      </w:r>
      <w:r w:rsidR="00973A05" w:rsidRPr="003A37FF">
        <w:t>alization</w:t>
      </w:r>
      <w:r w:rsidR="00823CA9" w:rsidRPr="003A37FF">
        <w:t xml:space="preserve"> helped facilitate the new practices</w:t>
      </w:r>
      <w:r w:rsidR="00787BB3" w:rsidRPr="003A37FF">
        <w:t>. The rise in shareholder value has ushered in the belief that companies need to maintain as much flexibility as possible, minimiz</w:t>
      </w:r>
      <w:r w:rsidR="0045070B" w:rsidRPr="003A37FF">
        <w:t>ing</w:t>
      </w:r>
      <w:r w:rsidR="00787BB3" w:rsidRPr="003A37FF">
        <w:t xml:space="preserve"> any long-term</w:t>
      </w:r>
      <w:r w:rsidR="0045070B" w:rsidRPr="003A37FF">
        <w:t xml:space="preserve"> financial </w:t>
      </w:r>
      <w:r w:rsidR="00787BB3" w:rsidRPr="003A37FF">
        <w:t xml:space="preserve"> commitments. As ISDS, and litigation claims</w:t>
      </w:r>
      <w:r w:rsidR="00F43631" w:rsidRPr="003A37FF">
        <w:t xml:space="preserve"> in general</w:t>
      </w:r>
      <w:r w:rsidR="00113A85" w:rsidRPr="003A37FF">
        <w:t>,</w:t>
      </w:r>
      <w:r w:rsidR="00BB72F4" w:rsidRPr="003A37FF">
        <w:t xml:space="preserve"> </w:t>
      </w:r>
      <w:r w:rsidR="00787BB3" w:rsidRPr="003A37FF">
        <w:t xml:space="preserve">can take several years of proceedings, the incentives created by </w:t>
      </w:r>
      <w:r w:rsidR="0045070B" w:rsidRPr="003A37FF">
        <w:t>these local norms</w:t>
      </w:r>
      <w:r w:rsidR="00787BB3" w:rsidRPr="003A37FF">
        <w:t xml:space="preserve"> opened the space for TPF. </w:t>
      </w:r>
      <w:r w:rsidR="0045070B" w:rsidRPr="003A37FF">
        <w:t xml:space="preserve">The </w:t>
      </w:r>
      <w:r w:rsidR="00113A85" w:rsidRPr="003A37FF">
        <w:t xml:space="preserve">risk management and securitization promised by TPF coincided with the local context but the frame of TPF needed to be edited. </w:t>
      </w:r>
      <w:r w:rsidR="00787BB3" w:rsidRPr="003A37FF">
        <w:t xml:space="preserve">Christopher Bogart of </w:t>
      </w:r>
      <w:r w:rsidR="00FF7807" w:rsidRPr="003A37FF">
        <w:t>Burford Capital stresses this change</w:t>
      </w:r>
      <w:r w:rsidR="00787BB3" w:rsidRPr="003A37FF">
        <w:t xml:space="preserve"> as one of the key drivers of the industry, countering the more public </w:t>
      </w:r>
      <w:r w:rsidR="00823CA9" w:rsidRPr="003A37FF">
        <w:t>sanguine David and Goliath rational</w:t>
      </w:r>
      <w:r w:rsidR="00787BB3" w:rsidRPr="003A37FF">
        <w:t xml:space="preserve">e: </w:t>
      </w:r>
    </w:p>
    <w:p w14:paraId="374ABEBB" w14:textId="628F4B6D" w:rsidR="00352D18" w:rsidRPr="003A37FF" w:rsidRDefault="00787BB3" w:rsidP="00FD0747">
      <w:pPr>
        <w:rPr>
          <w:color w:val="000000" w:themeColor="text1"/>
        </w:rPr>
      </w:pPr>
      <w:r w:rsidRPr="003A37FF">
        <w:rPr>
          <w:color w:val="000000" w:themeColor="text1"/>
        </w:rPr>
        <w:t xml:space="preserve">Litigation finance isn’t just used when claimants can’t pay, as a matter of necessity; it is increasingly used proactively, as a tool of choice. It can be far more efficient for corporations to </w:t>
      </w:r>
      <w:r w:rsidRPr="003A37FF">
        <w:rPr>
          <w:color w:val="000000" w:themeColor="text1"/>
        </w:rPr>
        <w:lastRenderedPageBreak/>
        <w:t>pay for legal fees and expenses by moving th</w:t>
      </w:r>
      <w:r w:rsidR="009765BB" w:rsidRPr="003A37FF">
        <w:rPr>
          <w:color w:val="000000" w:themeColor="text1"/>
        </w:rPr>
        <w:t>em off their own balance sheets</w:t>
      </w:r>
      <w:r w:rsidR="00F43631"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{"citationID":"bCwFSyo3","properties":{"formattedCitation":"(Norton Rose Fulbright 2016)","plainCitation":"(Norton Rose Fulbright 2016)","noteIndex":0},"citationItems":[{"id":1940,"uris":["http://zotero.org/users/local/oXQBh7r1/items/X3IZT3VX"],"uri":["http://zotero.org/users/local/oXQBh7r1/items/X3IZT3VX"],"itemData":{"id":1940,"type":"webpage","title":"International Arbitration Report","URL":"http://www.nortonrosefulbright.com/files/international-arbitration-report-issue-7-142408.pdf","author":[{"family":"Norton Rose Fulbright","given":""}],"accessed":{"date-parts":[["2017",5,8]]},"issued":{"date-parts":[["2016",9]]}}}],"schema":"https://github.com/citation-style-language/schema/raw/master/csl-citation.json"}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(Norton Rose Fulbright 2016)</w:t>
      </w:r>
      <w:r w:rsidR="009765BB" w:rsidRPr="003A37FF">
        <w:rPr>
          <w:color w:val="000000" w:themeColor="text1"/>
        </w:rPr>
        <w:fldChar w:fldCharType="end"/>
      </w:r>
      <w:r w:rsidR="009765BB" w:rsidRPr="003A37FF">
        <w:rPr>
          <w:color w:val="000000" w:themeColor="text1"/>
        </w:rPr>
        <w:t>.</w:t>
      </w:r>
    </w:p>
    <w:p w14:paraId="29B5D64C" w14:textId="77777777" w:rsidR="00F43631" w:rsidRPr="003A37FF" w:rsidRDefault="00F43631" w:rsidP="00FD0747">
      <w:pPr>
        <w:rPr>
          <w:color w:val="000000" w:themeColor="text1"/>
        </w:rPr>
      </w:pPr>
    </w:p>
    <w:p w14:paraId="3245E808" w14:textId="2BA447A1" w:rsidR="006E416D" w:rsidRPr="003A37FF" w:rsidRDefault="00787BB3" w:rsidP="00B0478E">
      <w:pPr>
        <w:spacing w:line="480" w:lineRule="auto"/>
        <w:ind w:firstLine="720"/>
        <w:rPr>
          <w:color w:val="000000" w:themeColor="text1"/>
        </w:rPr>
      </w:pPr>
      <w:r w:rsidRPr="003A37FF">
        <w:rPr>
          <w:color w:val="000000" w:themeColor="text1"/>
        </w:rPr>
        <w:t xml:space="preserve">This added flexibility provides companies possible payouts </w:t>
      </w:r>
      <w:r w:rsidR="009A4B3F" w:rsidRPr="003A37FF">
        <w:rPr>
          <w:color w:val="000000" w:themeColor="text1"/>
        </w:rPr>
        <w:t>while limiting the money needed</w:t>
      </w:r>
      <w:r w:rsidRPr="003A37FF">
        <w:rPr>
          <w:color w:val="000000" w:themeColor="text1"/>
        </w:rPr>
        <w:t xml:space="preserve"> upfront. </w:t>
      </w:r>
      <w:r w:rsidR="00A61EF9">
        <w:rPr>
          <w:color w:val="000000" w:themeColor="text1"/>
        </w:rPr>
        <w:t>W</w:t>
      </w:r>
      <w:r w:rsidRPr="003A37FF">
        <w:rPr>
          <w:color w:val="000000" w:themeColor="text1"/>
        </w:rPr>
        <w:t xml:space="preserve">hen a company is taking on a state but has a TPF arrangement, they are able to use </w:t>
      </w:r>
      <w:r w:rsidR="006E416D" w:rsidRPr="003A37FF">
        <w:rPr>
          <w:color w:val="000000" w:themeColor="text1"/>
        </w:rPr>
        <w:t>the</w:t>
      </w:r>
      <w:r w:rsidR="0045070B" w:rsidRPr="003A37FF">
        <w:rPr>
          <w:color w:val="000000" w:themeColor="text1"/>
        </w:rPr>
        <w:t>ir</w:t>
      </w:r>
      <w:r w:rsidRPr="003A37FF">
        <w:rPr>
          <w:color w:val="000000" w:themeColor="text1"/>
        </w:rPr>
        <w:t xml:space="preserve"> </w:t>
      </w:r>
      <w:r w:rsidR="0045070B" w:rsidRPr="003A37FF">
        <w:rPr>
          <w:color w:val="000000" w:themeColor="text1"/>
        </w:rPr>
        <w:t xml:space="preserve">capital </w:t>
      </w:r>
      <w:r w:rsidR="006E416D" w:rsidRPr="003A37FF">
        <w:rPr>
          <w:color w:val="000000" w:themeColor="text1"/>
        </w:rPr>
        <w:t>in a more versat</w:t>
      </w:r>
      <w:r w:rsidR="00823CA9" w:rsidRPr="003A37FF">
        <w:rPr>
          <w:color w:val="000000" w:themeColor="text1"/>
        </w:rPr>
        <w:t xml:space="preserve">ile way. </w:t>
      </w:r>
      <w:r w:rsidR="0067502B" w:rsidRPr="003A37FF">
        <w:rPr>
          <w:color w:val="000000" w:themeColor="text1"/>
        </w:rPr>
        <w:t>The value provided by risk mitigation</w:t>
      </w:r>
      <w:r w:rsidR="00823CA9" w:rsidRPr="003A37FF">
        <w:rPr>
          <w:color w:val="000000" w:themeColor="text1"/>
        </w:rPr>
        <w:t xml:space="preserve"> was stressed by Ru</w:t>
      </w:r>
      <w:r w:rsidR="006E416D" w:rsidRPr="003A37FF">
        <w:rPr>
          <w:color w:val="000000" w:themeColor="text1"/>
        </w:rPr>
        <w:t>th Stackpoole-Moore of Harbour Litigation:</w:t>
      </w:r>
    </w:p>
    <w:p w14:paraId="768BDF15" w14:textId="5739BABF" w:rsidR="00787BB3" w:rsidRPr="003A37FF" w:rsidRDefault="006E416D" w:rsidP="006E416D">
      <w:r w:rsidRPr="003A37FF">
        <w:rPr>
          <w:color w:val="000000" w:themeColor="text1"/>
        </w:rPr>
        <w:t>Another benefit is that by taking funding for the costs of litigation the claimant will only end up paying these from the proceeds of a successful conclusion; in the event of a loss, there is no recourse to the claimant. The financial risk of an adverse outcome is passed to the funder, thereby removing the financial downside of commencing litigation</w:t>
      </w:r>
      <w:r w:rsidR="00F43631"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{"citationID":"fbhp35FF","properties":{"formattedCitation":"(Norton Rose Fulbright 2016)","plainCitation":"(Norton Rose Fulbright 2016)","noteIndex":0},"citationItems":[{"id":1940,"uris":["http://zotero.org/users/local/oXQBh7r1/items/X3IZT3VX"],"uri":["http://zotero.org/users/local/oXQBh7r1/items/X3IZT3VX"],"itemData":{"id":1940,"type":"webpage","title":"International Arbitration Report","URL":"http://www.nortonrosefulbright.com/files/international-arbitration-report-issue-7-142408.pdf","author":[{"family":"Norton Rose Fulbright","given":""}],"accessed":{"date-parts":[["2017",5,8]]},"issued":{"date-parts":[["2016",9]]}}}],"schema":"https://github.com/citation-style-language/schema/raw/master/csl-citation.json"}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(Norton Rose Fulbright 2016)</w:t>
      </w:r>
      <w:r w:rsidR="009765BB" w:rsidRPr="003A37FF">
        <w:rPr>
          <w:color w:val="000000" w:themeColor="text1"/>
        </w:rPr>
        <w:fldChar w:fldCharType="end"/>
      </w:r>
      <w:r w:rsidR="00F43631" w:rsidRPr="003A37FF">
        <w:rPr>
          <w:color w:val="000000" w:themeColor="text1"/>
        </w:rPr>
        <w:t>.</w:t>
      </w:r>
    </w:p>
    <w:p w14:paraId="2A2C7455" w14:textId="77777777" w:rsidR="00C73B36" w:rsidRPr="003A37FF" w:rsidRDefault="00C73B36" w:rsidP="00706558">
      <w:pPr>
        <w:spacing w:line="480" w:lineRule="auto"/>
        <w:rPr>
          <w:i/>
        </w:rPr>
      </w:pPr>
    </w:p>
    <w:p w14:paraId="1607BE25" w14:textId="585CAF39" w:rsidR="00165888" w:rsidRPr="003A37FF" w:rsidRDefault="00271AD0" w:rsidP="00483803">
      <w:pPr>
        <w:spacing w:line="480" w:lineRule="auto"/>
        <w:rPr>
          <w:color w:val="000000" w:themeColor="text1"/>
        </w:rPr>
      </w:pPr>
      <w:r w:rsidRPr="003A37FF">
        <w:tab/>
      </w:r>
      <w:r w:rsidRPr="003A37FF">
        <w:rPr>
          <w:color w:val="000000" w:themeColor="text1"/>
        </w:rPr>
        <w:t>Moreover</w:t>
      </w:r>
      <w:r w:rsidR="00483803" w:rsidRPr="003A37FF">
        <w:rPr>
          <w:color w:val="000000" w:themeColor="text1"/>
        </w:rPr>
        <w:t>,</w:t>
      </w:r>
      <w:r w:rsidR="00973A05" w:rsidRPr="003A37FF">
        <w:rPr>
          <w:color w:val="000000" w:themeColor="text1"/>
        </w:rPr>
        <w:t xml:space="preserve"> research on general financ</w:t>
      </w:r>
      <w:r w:rsidRPr="003A37FF">
        <w:rPr>
          <w:color w:val="000000" w:themeColor="text1"/>
        </w:rPr>
        <w:t>i</w:t>
      </w:r>
      <w:r w:rsidR="00973A05" w:rsidRPr="003A37FF">
        <w:rPr>
          <w:color w:val="000000" w:themeColor="text1"/>
        </w:rPr>
        <w:t>a</w:t>
      </w:r>
      <w:r w:rsidRPr="003A37FF">
        <w:rPr>
          <w:color w:val="000000" w:themeColor="text1"/>
        </w:rPr>
        <w:t xml:space="preserve">lization patterns illustrates a large change in internal cultures for publicly traded firms. As finance’s place in the global economy rose, so did the value and input of Chief </w:t>
      </w:r>
      <w:r w:rsidR="00483803" w:rsidRPr="003A37FF">
        <w:rPr>
          <w:color w:val="000000" w:themeColor="text1"/>
        </w:rPr>
        <w:t>Financial</w:t>
      </w:r>
      <w:r w:rsidRPr="003A37FF">
        <w:rPr>
          <w:color w:val="000000" w:themeColor="text1"/>
        </w:rPr>
        <w:t xml:space="preserve"> Officers</w:t>
      </w:r>
      <w:r w:rsidR="009765BB"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{"citationID":"plQ26Ypw","properties":{"formattedCitation":"(Zorn 2004)","plainCitation":"(Zorn 2004)","noteIndex":0},"citationItems":[{"id":4214,"uris":["http://zotero.org/users/local/oXQBh7r1/items/IVPUHFSH"],"uri":["http://zotero.org/users/local/oXQBh7r1/items/IVPUHFSH"],"itemData":{"id":4214,"type":"article-journal","container-title":"American Sociological Review","issue":"3","page":"345–364","source":"Google Scholar","title":"Here a chief, there a chief: The rise of the CFO in the American firm","title-short":"Here a chief, there a chief","volume":"69","author":[{"family":"Zorn","given":"Dirk M."}],"issued":{"date-parts":[["2004"]]}}}],"schema":"https://github.com/citation-style-language/schema/raw/master/csl-citation.json"}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(Zorn 2004)</w:t>
      </w:r>
      <w:r w:rsidR="009765BB" w:rsidRPr="003A37FF">
        <w:rPr>
          <w:color w:val="000000" w:themeColor="text1"/>
        </w:rPr>
        <w:fldChar w:fldCharType="end"/>
      </w:r>
      <w:r w:rsidRPr="003A37FF">
        <w:rPr>
          <w:color w:val="000000" w:themeColor="text1"/>
        </w:rPr>
        <w:t xml:space="preserve">. The shift helped trigger the broader acceptance that all firms needed to be more heavily involved in the risk management business. This has been </w:t>
      </w:r>
      <w:r w:rsidR="00973A05" w:rsidRPr="003A37FF">
        <w:rPr>
          <w:color w:val="000000" w:themeColor="text1"/>
        </w:rPr>
        <w:t xml:space="preserve">a key selling point for </w:t>
      </w:r>
      <w:r w:rsidR="00FB0A44" w:rsidRPr="003A37FF">
        <w:rPr>
          <w:color w:val="000000" w:themeColor="text1"/>
        </w:rPr>
        <w:t>third-party</w:t>
      </w:r>
      <w:r w:rsidR="00973A05" w:rsidRPr="003A37FF">
        <w:rPr>
          <w:color w:val="000000" w:themeColor="text1"/>
        </w:rPr>
        <w:t xml:space="preserve"> </w:t>
      </w:r>
      <w:r w:rsidR="00FB0A44" w:rsidRPr="003A37FF">
        <w:rPr>
          <w:color w:val="000000" w:themeColor="text1"/>
        </w:rPr>
        <w:t>f</w:t>
      </w:r>
      <w:r w:rsidR="00973A05" w:rsidRPr="003A37FF">
        <w:rPr>
          <w:color w:val="000000" w:themeColor="text1"/>
        </w:rPr>
        <w:t>inancers, who argue</w:t>
      </w:r>
      <w:r w:rsidRPr="003A37FF">
        <w:rPr>
          <w:color w:val="000000" w:themeColor="text1"/>
        </w:rPr>
        <w:t xml:space="preserve"> that their role is just another form of the broader management cha</w:t>
      </w:r>
      <w:r w:rsidR="00973A05" w:rsidRPr="003A37FF">
        <w:rPr>
          <w:color w:val="000000" w:themeColor="text1"/>
        </w:rPr>
        <w:t>nges that have helped firms deal with</w:t>
      </w:r>
      <w:r w:rsidRPr="003A37FF">
        <w:rPr>
          <w:color w:val="000000" w:themeColor="text1"/>
        </w:rPr>
        <w:t xml:space="preserve"> uncertain, volatile business environments. It is exactly what firms like </w:t>
      </w:r>
      <w:r w:rsidR="00483803" w:rsidRPr="003A37FF">
        <w:rPr>
          <w:color w:val="000000" w:themeColor="text1"/>
        </w:rPr>
        <w:t>Calunius express in order to also financialize the law</w:t>
      </w:r>
      <w:r w:rsidR="00823CA9" w:rsidRPr="003A37FF">
        <w:rPr>
          <w:color w:val="000000" w:themeColor="text1"/>
        </w:rPr>
        <w:t xml:space="preserve"> as evidenced by this quote from their web</w:t>
      </w:r>
      <w:r w:rsidR="009765BB" w:rsidRPr="003A37FF">
        <w:rPr>
          <w:color w:val="000000" w:themeColor="text1"/>
        </w:rPr>
        <w:t>site</w:t>
      </w:r>
      <w:r w:rsidR="00483803" w:rsidRPr="003A37FF">
        <w:rPr>
          <w:color w:val="000000" w:themeColor="text1"/>
        </w:rPr>
        <w:t>, “Financial risks arising from other sources (interest rates, foreign exchange, etc.) are routinely managed by well-run businesses by hedging. The CFO will say: Why should dispute risk be any different?”</w:t>
      </w:r>
      <w:r w:rsidR="009765BB" w:rsidRPr="003A37FF">
        <w:rPr>
          <w:color w:val="000000" w:themeColor="text1"/>
        </w:rPr>
        <w:t xml:space="preserve"> </w:t>
      </w:r>
      <w:r w:rsidR="009765BB" w:rsidRPr="003A37FF">
        <w:rPr>
          <w:color w:val="000000" w:themeColor="text1"/>
        </w:rPr>
        <w:fldChar w:fldCharType="begin"/>
      </w:r>
      <w:r w:rsidR="00E80061" w:rsidRPr="003A37FF">
        <w:rPr>
          <w:color w:val="000000" w:themeColor="text1"/>
        </w:rPr>
        <w:instrText xml:space="preserve"> ADDIN ZOTERO_ITEM CSL_CITATION {"citationID":"sPeo1e94","properties":{"formattedCitation":"(Calunius Capital 2018)","plainCitation":"(Calunius Capital 2018)","noteIndex":0},"citationItems":[{"id":4243,"uris":["http://zotero.org/users/local/oXQBh7r1/items/N6CSQBZT"],"uri":["http://zotero.org/users/local/oXQBh7r1/items/N6CSQBZT"],"itemData":{"id":4243,"type":"webpage","title":"Commercial Litigation Funding &amp; Arbitration Finance","URL":"http://www.calunius.com/who-uses-litigation-funding/the-solvent-business.aspx","author":[{"family":"Calunius Capital","given":""}],"accessed":{"date-parts":[["2018",8,9]]},"issued":{"date-parts":[["2018"]]}}}],"schema":"https://github.com/citation-style-language/schema/raw/master/csl-citation.json"} </w:instrText>
      </w:r>
      <w:r w:rsidR="009765BB" w:rsidRPr="003A37FF">
        <w:rPr>
          <w:color w:val="000000" w:themeColor="text1"/>
        </w:rPr>
        <w:fldChar w:fldCharType="separate"/>
      </w:r>
      <w:r w:rsidR="009765BB" w:rsidRPr="003A37FF">
        <w:rPr>
          <w:noProof/>
          <w:color w:val="000000" w:themeColor="text1"/>
        </w:rPr>
        <w:t>(Calunius Capital 2018)</w:t>
      </w:r>
      <w:r w:rsidR="009765BB" w:rsidRPr="003A37FF">
        <w:rPr>
          <w:color w:val="000000" w:themeColor="text1"/>
        </w:rPr>
        <w:fldChar w:fldCharType="end"/>
      </w:r>
      <w:r w:rsidR="0067502B" w:rsidRPr="003A37FF">
        <w:rPr>
          <w:color w:val="000000" w:themeColor="text1"/>
        </w:rPr>
        <w:t xml:space="preserve">. </w:t>
      </w:r>
      <w:r w:rsidR="00A61EF9">
        <w:rPr>
          <w:color w:val="000000" w:themeColor="text1"/>
        </w:rPr>
        <w:t>T</w:t>
      </w:r>
      <w:r w:rsidR="0067502B" w:rsidRPr="003A37FF">
        <w:rPr>
          <w:color w:val="000000" w:themeColor="text1"/>
        </w:rPr>
        <w:t xml:space="preserve">he norms developing within corporations prior to the great recession provided another tool for actors from “foreign” </w:t>
      </w:r>
      <w:r w:rsidR="005B593E" w:rsidRPr="003A37FF">
        <w:rPr>
          <w:color w:val="000000" w:themeColor="text1"/>
        </w:rPr>
        <w:t>fields</w:t>
      </w:r>
      <w:r w:rsidR="0067502B" w:rsidRPr="003A37FF">
        <w:rPr>
          <w:color w:val="000000" w:themeColor="text1"/>
        </w:rPr>
        <w:t xml:space="preserve"> to sell the value of their product.</w:t>
      </w:r>
      <w:r w:rsidR="002343CC" w:rsidRPr="003A37FF">
        <w:rPr>
          <w:color w:val="000000" w:themeColor="text1"/>
        </w:rPr>
        <w:t xml:space="preserve"> As the ICCA task force concludes, </w:t>
      </w:r>
    </w:p>
    <w:p w14:paraId="63DC25EF" w14:textId="59D613CA" w:rsidR="00483803" w:rsidRPr="003A37FF" w:rsidRDefault="002343CC" w:rsidP="00812EDF">
      <w:pPr>
        <w:rPr>
          <w:color w:val="000000" w:themeColor="text1"/>
        </w:rPr>
      </w:pPr>
      <w:r w:rsidRPr="003A37FF">
        <w:rPr>
          <w:color w:val="000000" w:themeColor="text1"/>
        </w:rPr>
        <w:t xml:space="preserve">While historically third-party funding was considered an option of last resort for financially distressed claimants, funders are today increasingly encouraging corporate entities with strong </w:t>
      </w:r>
      <w:r w:rsidRPr="003A37FF">
        <w:rPr>
          <w:color w:val="000000" w:themeColor="text1"/>
        </w:rPr>
        <w:lastRenderedPageBreak/>
        <w:t>balance sheets to use dispute finance as an alternative to tying up their own capital in litigation or arbitration. The idea and advantages of off-b</w:t>
      </w:r>
      <w:r w:rsidR="004A6F7F" w:rsidRPr="003A37FF">
        <w:rPr>
          <w:color w:val="000000" w:themeColor="text1"/>
        </w:rPr>
        <w:t>a</w:t>
      </w:r>
      <w:r w:rsidRPr="003A37FF">
        <w:rPr>
          <w:color w:val="000000" w:themeColor="text1"/>
        </w:rPr>
        <w:t>lance sheet litigation and turning in-house legal departments into</w:t>
      </w:r>
      <w:r w:rsidR="00165888" w:rsidRPr="003A37FF">
        <w:rPr>
          <w:color w:val="000000" w:themeColor="text1"/>
        </w:rPr>
        <w:t xml:space="preserve"> profit centres are well-established</w:t>
      </w:r>
      <w:r w:rsidR="00B97682" w:rsidRPr="003A37FF">
        <w:rPr>
          <w:color w:val="000000" w:themeColor="text1"/>
        </w:rPr>
        <w:t>.</w:t>
      </w:r>
      <w:r w:rsidR="004A6F7F" w:rsidRPr="003A37FF">
        <w:rPr>
          <w:color w:val="000000" w:themeColor="text1"/>
        </w:rPr>
        <w:t xml:space="preserve"> </w:t>
      </w:r>
      <w:r w:rsidR="004A6F7F" w:rsidRPr="003A37FF">
        <w:rPr>
          <w:color w:val="000000" w:themeColor="text1"/>
        </w:rPr>
        <w:fldChar w:fldCharType="begin"/>
      </w:r>
      <w:r w:rsidR="00EE4102" w:rsidRPr="003A37FF">
        <w:rPr>
          <w:color w:val="000000" w:themeColor="text1"/>
        </w:rPr>
        <w:instrText xml:space="preserve"> ADDIN ZOTERO_ITEM CSL_CITATION {"citationID":"a2aa5c4b5h","properties":{"formattedCitation":"(International Council for Commercial Arbitration 2018, 42)","plainCitation":"(International Council for Commercial Arbitration 2018, 42)","noteIndex":0},"citationItems":[{"id":5793,"uris":["http://zotero.org/users/local/oXQBh7r1/items/D4BYKIUJ"],"uri":["http://zotero.org/users/local/oXQBh7r1/items/D4BYKIUJ"],"itemData":{"id":5793,"type":"book","ISBN":"978-94-92405-10-4","language":"en","note":"OCLC: 1041143231","source":"Open WorldCat","title":"Report of the ICCA-Queen Mary Task Force on third-party funding in international arbitration","URL":"http://www.kluwerarbitration.com/book-toc?title=ICCA%20Reports%20No.%204%3A%20Report%20of%20the%20ICCA-Queen%20Mary%20Task%20Force%20on%20Third-Party%20Funding%20in%20International%20Arbitration","author":[{"literal":"International Council for Commercial Arbitration"}],"accessed":{"date-parts":[["2020",5,20]]},"issued":{"date-parts":[["2018"]]}},"locator":"42"}],"schema":"https://github.com/citation-style-language/schema/raw/master/csl-citation.json"} </w:instrText>
      </w:r>
      <w:r w:rsidR="004A6F7F" w:rsidRPr="003A37FF">
        <w:rPr>
          <w:color w:val="000000" w:themeColor="text1"/>
        </w:rPr>
        <w:fldChar w:fldCharType="separate"/>
      </w:r>
      <w:r w:rsidR="00EE4102" w:rsidRPr="003A37FF">
        <w:rPr>
          <w:color w:val="000000"/>
        </w:rPr>
        <w:t>(International Council for Commercial Arbitration 2018, 42)</w:t>
      </w:r>
      <w:r w:rsidR="004A6F7F" w:rsidRPr="003A37FF">
        <w:rPr>
          <w:color w:val="000000" w:themeColor="text1"/>
        </w:rPr>
        <w:fldChar w:fldCharType="end"/>
      </w:r>
    </w:p>
    <w:p w14:paraId="53B8156C" w14:textId="77777777" w:rsidR="00D87AE6" w:rsidRPr="003A37FF" w:rsidRDefault="00D87AE6" w:rsidP="00812EDF">
      <w:pPr>
        <w:ind w:left="720"/>
        <w:rPr>
          <w:color w:val="000000" w:themeColor="text1"/>
        </w:rPr>
      </w:pPr>
    </w:p>
    <w:p w14:paraId="4D2F6EFB" w14:textId="32645392" w:rsidR="00CF213F" w:rsidRPr="003A37FF" w:rsidRDefault="00CF213F" w:rsidP="00483803">
      <w:pPr>
        <w:spacing w:line="480" w:lineRule="auto"/>
        <w:rPr>
          <w:color w:val="000000" w:themeColor="text1"/>
        </w:rPr>
      </w:pPr>
      <w:r w:rsidRPr="003A37FF">
        <w:rPr>
          <w:color w:val="000000" w:themeColor="text1"/>
        </w:rPr>
        <w:tab/>
      </w:r>
      <w:r w:rsidR="006C7432" w:rsidRPr="003A37FF">
        <w:rPr>
          <w:color w:val="000000" w:themeColor="text1"/>
        </w:rPr>
        <w:t xml:space="preserve">At the same time that TPF has been pitching </w:t>
      </w:r>
      <w:r w:rsidR="00253CF5" w:rsidRPr="003A37FF">
        <w:rPr>
          <w:color w:val="000000" w:themeColor="text1"/>
        </w:rPr>
        <w:t>its money</w:t>
      </w:r>
      <w:r w:rsidR="006C7432" w:rsidRPr="003A37FF">
        <w:rPr>
          <w:color w:val="000000" w:themeColor="text1"/>
        </w:rPr>
        <w:t xml:space="preserve"> to the legal and corporate communities, there is mounting tension between the growing use of TPF and government support for such efforts</w:t>
      </w:r>
      <w:r w:rsidRPr="003A37FF">
        <w:rPr>
          <w:color w:val="000000" w:themeColor="text1"/>
        </w:rPr>
        <w:t xml:space="preserve">. On top of creating increased incentive for the cross-field coalitions to form, awards from ISDS need to </w:t>
      </w:r>
      <w:r w:rsidR="00347589" w:rsidRPr="003A37FF">
        <w:rPr>
          <w:color w:val="000000" w:themeColor="text1"/>
        </w:rPr>
        <w:t xml:space="preserve">be </w:t>
      </w:r>
      <w:r w:rsidRPr="003A37FF">
        <w:rPr>
          <w:color w:val="000000" w:themeColor="text1"/>
        </w:rPr>
        <w:t xml:space="preserve">enforced through domestic courts. If TPF were not allowed within a jurisdiction, it could risk the award never being paid out. This fits within some of the state-led logics of </w:t>
      </w:r>
      <w:r w:rsidR="00253CF5" w:rsidRPr="003A37FF">
        <w:rPr>
          <w:color w:val="000000" w:themeColor="text1"/>
        </w:rPr>
        <w:t>regime change</w:t>
      </w:r>
      <w:r w:rsidRPr="003A37FF">
        <w:rPr>
          <w:color w:val="000000" w:themeColor="text1"/>
        </w:rPr>
        <w:t xml:space="preserve">. But those laws were </w:t>
      </w:r>
      <w:r w:rsidR="00BB72F4" w:rsidRPr="003A37FF">
        <w:rPr>
          <w:color w:val="000000" w:themeColor="text1"/>
        </w:rPr>
        <w:t xml:space="preserve">reformed </w:t>
      </w:r>
      <w:r w:rsidRPr="003A37FF">
        <w:rPr>
          <w:color w:val="000000" w:themeColor="text1"/>
        </w:rPr>
        <w:t>well be</w:t>
      </w:r>
      <w:r w:rsidR="00347589" w:rsidRPr="003A37FF">
        <w:rPr>
          <w:color w:val="000000" w:themeColor="text1"/>
        </w:rPr>
        <w:t xml:space="preserve">fore </w:t>
      </w:r>
      <w:r w:rsidRPr="003A37FF">
        <w:rPr>
          <w:color w:val="000000" w:themeColor="text1"/>
        </w:rPr>
        <w:t>the substantial growth of TPF firms</w:t>
      </w:r>
      <w:r w:rsidR="00BB72F4" w:rsidRPr="003A37FF">
        <w:rPr>
          <w:color w:val="000000" w:themeColor="text1"/>
        </w:rPr>
        <w:t>,</w:t>
      </w:r>
      <w:r w:rsidRPr="003A37FF">
        <w:rPr>
          <w:color w:val="000000" w:themeColor="text1"/>
        </w:rPr>
        <w:t xml:space="preserve"> suggesting that they did not play an active role in lobbying for change. More importantly, state approaches </w:t>
      </w:r>
      <w:r w:rsidR="00BB72F4" w:rsidRPr="003A37FF">
        <w:rPr>
          <w:color w:val="000000" w:themeColor="text1"/>
        </w:rPr>
        <w:t>typically find</w:t>
      </w:r>
      <w:r w:rsidRPr="003A37FF">
        <w:rPr>
          <w:color w:val="000000" w:themeColor="text1"/>
        </w:rPr>
        <w:t xml:space="preserve"> strong synergies between the gains from financialization for the private sector and the state. Instead</w:t>
      </w:r>
      <w:r w:rsidR="00BB72F4" w:rsidRPr="003A37FF">
        <w:rPr>
          <w:color w:val="000000" w:themeColor="text1"/>
        </w:rPr>
        <w:t>,</w:t>
      </w:r>
      <w:r w:rsidRPr="003A37FF">
        <w:rPr>
          <w:color w:val="000000" w:themeColor="text1"/>
        </w:rPr>
        <w:t xml:space="preserve"> TPF shows how financialization can actually exacerbate </w:t>
      </w:r>
      <w:r w:rsidR="00347589" w:rsidRPr="003A37FF">
        <w:rPr>
          <w:color w:val="000000" w:themeColor="text1"/>
        </w:rPr>
        <w:t>contentious</w:t>
      </w:r>
      <w:r w:rsidRPr="003A37FF">
        <w:rPr>
          <w:color w:val="000000" w:themeColor="text1"/>
        </w:rPr>
        <w:t xml:space="preserve"> dynamics between select corporations and governments. The conventional approach would struggle to explain this, especially as we now see intergovernmental cooperation, </w:t>
      </w:r>
      <w:r w:rsidR="00347589" w:rsidRPr="003A37FF">
        <w:rPr>
          <w:color w:val="000000" w:themeColor="text1"/>
        </w:rPr>
        <w:t>most notably</w:t>
      </w:r>
      <w:r w:rsidRPr="003A37FF">
        <w:rPr>
          <w:color w:val="000000" w:themeColor="text1"/>
        </w:rPr>
        <w:t xml:space="preserve"> via</w:t>
      </w:r>
      <w:r w:rsidR="004649B5" w:rsidRPr="003A37FF">
        <w:rPr>
          <w:color w:val="000000" w:themeColor="text1"/>
        </w:rPr>
        <w:t xml:space="preserve"> the</w:t>
      </w:r>
      <w:r w:rsidRPr="003A37FF">
        <w:rPr>
          <w:color w:val="000000" w:themeColor="text1"/>
        </w:rPr>
        <w:t xml:space="preserve"> United Nations Commission on International Trade Law (UNCITRAL)</w:t>
      </w:r>
      <w:r w:rsidR="00347589" w:rsidRPr="003A37FF">
        <w:rPr>
          <w:color w:val="000000" w:themeColor="text1"/>
        </w:rPr>
        <w:t>,</w:t>
      </w:r>
      <w:r w:rsidR="00BB72F4" w:rsidRPr="003A37FF">
        <w:rPr>
          <w:color w:val="000000" w:themeColor="text1"/>
        </w:rPr>
        <w:t xml:space="preserve"> which is attempting</w:t>
      </w:r>
      <w:r w:rsidRPr="003A37FF">
        <w:rPr>
          <w:color w:val="000000" w:themeColor="text1"/>
        </w:rPr>
        <w:t xml:space="preserve"> to </w:t>
      </w:r>
      <w:r w:rsidR="00B97682" w:rsidRPr="003A37FF">
        <w:rPr>
          <w:color w:val="000000" w:themeColor="text1"/>
        </w:rPr>
        <w:t xml:space="preserve">regulate </w:t>
      </w:r>
      <w:r w:rsidRPr="003A37FF">
        <w:rPr>
          <w:color w:val="000000" w:themeColor="text1"/>
        </w:rPr>
        <w:t xml:space="preserve">the industry’s role in ISDS. </w:t>
      </w:r>
      <w:r w:rsidR="00347589" w:rsidRPr="003A37FF">
        <w:rPr>
          <w:color w:val="000000" w:themeColor="text1"/>
        </w:rPr>
        <w:t xml:space="preserve">Rather than benefiting from the financialization of </w:t>
      </w:r>
      <w:r w:rsidR="004A1F6C" w:rsidRPr="003A37FF">
        <w:rPr>
          <w:color w:val="000000" w:themeColor="text1"/>
        </w:rPr>
        <w:t>international</w:t>
      </w:r>
      <w:r w:rsidR="00347589" w:rsidRPr="003A37FF">
        <w:rPr>
          <w:color w:val="000000" w:themeColor="text1"/>
        </w:rPr>
        <w:t xml:space="preserve"> law, states are </w:t>
      </w:r>
      <w:r w:rsidR="005E3DEE" w:rsidRPr="003A37FF">
        <w:rPr>
          <w:color w:val="000000" w:themeColor="text1"/>
        </w:rPr>
        <w:t>in many ways trying to rewind the clock</w:t>
      </w:r>
      <w:r w:rsidR="00347589" w:rsidRPr="003A37FF">
        <w:rPr>
          <w:color w:val="000000" w:themeColor="text1"/>
        </w:rPr>
        <w:t xml:space="preserve">. </w:t>
      </w:r>
      <w:r w:rsidR="00CE790F" w:rsidRPr="003A37FF">
        <w:rPr>
          <w:color w:val="000000" w:themeColor="text1"/>
        </w:rPr>
        <w:t>At least 12 different state representatives brought up concerns regarding TPF at the UNCITRAL Working Group sessions in 2018</w:t>
      </w:r>
      <w:r w:rsidR="00F84FC8" w:rsidRPr="003A37FF">
        <w:rPr>
          <w:color w:val="000000" w:themeColor="text1"/>
        </w:rPr>
        <w:t xml:space="preserve"> </w:t>
      </w:r>
      <w:r w:rsidR="00F84FC8" w:rsidRPr="003A37FF">
        <w:rPr>
          <w:color w:val="000000" w:themeColor="text1"/>
        </w:rPr>
        <w:fldChar w:fldCharType="begin"/>
      </w:r>
      <w:r w:rsidR="00EE4102" w:rsidRPr="003A37FF">
        <w:rPr>
          <w:color w:val="000000" w:themeColor="text1"/>
        </w:rPr>
        <w:instrText xml:space="preserve"> ADDIN ZOTERO_ITEM CSL_CITATION {"citationID":"a9vjb4jvbs","properties":{"formattedCitation":"(Roberts and Bouraoui 2018)","plainCitation":"(Roberts and Bouraoui 2018)","noteIndex":0},"citationItems":[{"id":5808,"uris":["http://zotero.org/users/local/oXQBh7r1/items/ALRZ3GQM"],"uri":["http://zotero.org/users/local/oXQBh7r1/items/ALRZ3GQM"],"itemData":{"id":5808,"type":"post-weblog","abstract":"As explained in a previous post, we have put together four posts that compile the most relevant quotes from the first two meetings of the UNCITRAL Working Group sessions on states’ concerns about investor-state dispute settlement. To facilitate discussions about the desirability of reforms and their potential nature, we have organized these quotes into key […]","container-title":"EJIL: Talk!","language":"English","title":"UNCITRAL and ISDS Reforms: Concerns about Costs, Transparency, Third Party Funding and Counterclaims","title-short":"UNCITRAL and ISDS Reforms","URL":"https://www.ejiltalk.org/uncitral-and-isds-reforms-concerns-about-costs-transparency-third-party-funding-and-counterclaims/","author":[{"family":"Roberts","given":"Anthea"},{"family":"Bouraoui","given":"Zeineb"}],"accessed":{"date-parts":[["2020",5,21]]},"issued":{"date-parts":[["2018",6,6]]}}}],"schema":"https://github.com/citation-style-language/schema/raw/master/csl-citation.json"} </w:instrText>
      </w:r>
      <w:r w:rsidR="00F84FC8" w:rsidRPr="003A37FF">
        <w:rPr>
          <w:color w:val="000000" w:themeColor="text1"/>
        </w:rPr>
        <w:fldChar w:fldCharType="separate"/>
      </w:r>
      <w:r w:rsidR="00EE4102" w:rsidRPr="003A37FF">
        <w:rPr>
          <w:color w:val="000000"/>
        </w:rPr>
        <w:t>(Roberts and Bouraoui 2018)</w:t>
      </w:r>
      <w:r w:rsidR="00F84FC8" w:rsidRPr="003A37FF">
        <w:rPr>
          <w:color w:val="000000" w:themeColor="text1"/>
        </w:rPr>
        <w:fldChar w:fldCharType="end"/>
      </w:r>
      <w:r w:rsidR="00CE790F" w:rsidRPr="003A37FF">
        <w:rPr>
          <w:color w:val="000000" w:themeColor="text1"/>
        </w:rPr>
        <w:t>. A representative from Nigeria articulated many of the reasons why states are inevitably frustrated with the status quo:</w:t>
      </w:r>
    </w:p>
    <w:p w14:paraId="23BB42A1" w14:textId="2563CF53" w:rsidR="00CE790F" w:rsidRPr="003A37FF" w:rsidRDefault="00CE790F" w:rsidP="00CE790F">
      <w:r w:rsidRPr="003A37FF">
        <w:rPr>
          <w:color w:val="000000"/>
        </w:rPr>
        <w:t xml:space="preserve">We noted the argument that </w:t>
      </w:r>
      <w:r w:rsidR="00FB0A44" w:rsidRPr="003A37FF">
        <w:rPr>
          <w:color w:val="000000"/>
        </w:rPr>
        <w:t>third</w:t>
      </w:r>
      <w:r w:rsidR="004649B5" w:rsidRPr="003A37FF">
        <w:rPr>
          <w:color w:val="000000"/>
        </w:rPr>
        <w:t xml:space="preserve"> </w:t>
      </w:r>
      <w:r w:rsidR="00FB0A44" w:rsidRPr="003A37FF">
        <w:rPr>
          <w:color w:val="000000"/>
        </w:rPr>
        <w:t>party</w:t>
      </w:r>
      <w:r w:rsidRPr="003A37FF">
        <w:rPr>
          <w:color w:val="000000"/>
        </w:rPr>
        <w:t xml:space="preserve"> funding will provide access to justice for SMEs who may lack funds. Essentially, in our experience, we find that </w:t>
      </w:r>
      <w:r w:rsidR="00FB0A44" w:rsidRPr="003A37FF">
        <w:rPr>
          <w:color w:val="000000"/>
        </w:rPr>
        <w:t>third</w:t>
      </w:r>
      <w:r w:rsidR="004649B5" w:rsidRPr="003A37FF">
        <w:rPr>
          <w:color w:val="000000"/>
        </w:rPr>
        <w:t xml:space="preserve"> </w:t>
      </w:r>
      <w:r w:rsidR="00FB0A44" w:rsidRPr="003A37FF">
        <w:rPr>
          <w:color w:val="000000"/>
        </w:rPr>
        <w:t>party</w:t>
      </w:r>
      <w:r w:rsidRPr="003A37FF">
        <w:rPr>
          <w:color w:val="000000"/>
        </w:rPr>
        <w:t xml:space="preserve"> funders are attracted by the high level claims, the perceived finality of awards, and the enforcement regime. But it still raises a moral, ethical, policy issues. Why a total stranger who has suffered no injury should be allowed to benefit from the injury caused to others. In our view the danger of the </w:t>
      </w:r>
      <w:r w:rsidR="00FB0A44" w:rsidRPr="003A37FF">
        <w:rPr>
          <w:color w:val="000000"/>
        </w:rPr>
        <w:t>third</w:t>
      </w:r>
      <w:r w:rsidR="004649B5" w:rsidRPr="003A37FF">
        <w:rPr>
          <w:color w:val="000000"/>
        </w:rPr>
        <w:t xml:space="preserve"> </w:t>
      </w:r>
      <w:r w:rsidR="00FB0A44" w:rsidRPr="003A37FF">
        <w:rPr>
          <w:color w:val="000000"/>
        </w:rPr>
        <w:t>party</w:t>
      </w:r>
      <w:r w:rsidRPr="003A37FF">
        <w:rPr>
          <w:color w:val="000000"/>
        </w:rPr>
        <w:t xml:space="preserve"> funding is </w:t>
      </w:r>
      <w:r w:rsidRPr="003A37FF">
        <w:rPr>
          <w:color w:val="000000"/>
        </w:rPr>
        <w:lastRenderedPageBreak/>
        <w:t>that funders are not known to BITs. It poses real challenges including the possibility of encouraging unmeritorious claims, the possibility of discouraging settlement and the risk that the funders may put their own interests ahead of that of the claimant</w:t>
      </w:r>
      <w:r w:rsidR="00F84FC8" w:rsidRPr="003A37FF">
        <w:rPr>
          <w:color w:val="000000"/>
        </w:rPr>
        <w:t xml:space="preserve">. </w:t>
      </w:r>
      <w:r w:rsidR="00F84FC8" w:rsidRPr="003A37FF">
        <w:rPr>
          <w:color w:val="000000"/>
        </w:rPr>
        <w:fldChar w:fldCharType="begin"/>
      </w:r>
      <w:r w:rsidR="00EE4102" w:rsidRPr="003A37FF">
        <w:rPr>
          <w:color w:val="000000"/>
        </w:rPr>
        <w:instrText xml:space="preserve"> ADDIN ZOTERO_ITEM CSL_CITATION {"citationID":"a1g3j2a5bk3","properties":{"formattedCitation":"(Roberts and Bouraoui 2018)","plainCitation":"(Roberts and Bouraoui 2018)","noteIndex":0},"citationItems":[{"id":5808,"uris":["http://zotero.org/users/local/oXQBh7r1/items/ALRZ3GQM"],"uri":["http://zotero.org/users/local/oXQBh7r1/items/ALRZ3GQM"],"itemData":{"id":5808,"type":"post-weblog","abstract":"As explained in a previous post, we have put together four posts that compile the most relevant quotes from the first two meetings of the UNCITRAL Working Group sessions on states’ concerns about investor-state dispute settlement. To facilitate discussions about the desirability of reforms and their potential nature, we have organized these quotes into key […]","container-title":"EJIL: Talk!","language":"English","title":"UNCITRAL and ISDS Reforms: Concerns about Costs, Transparency, Third Party Funding and Counterclaims","title-short":"UNCITRAL and ISDS Reforms","URL":"https://www.ejiltalk.org/uncitral-and-isds-reforms-concerns-about-costs-transparency-third-party-funding-and-counterclaims/","author":[{"family":"Roberts","given":"Anthea"},{"family":"Bouraoui","given":"Zeineb"}],"accessed":{"date-parts":[["2020",5,21]]},"issued":{"date-parts":[["2018",6,6]]}}}],"schema":"https://github.com/citation-style-language/schema/raw/master/csl-citation.json"} </w:instrText>
      </w:r>
      <w:r w:rsidR="00F84FC8" w:rsidRPr="003A37FF">
        <w:rPr>
          <w:color w:val="000000"/>
        </w:rPr>
        <w:fldChar w:fldCharType="separate"/>
      </w:r>
      <w:r w:rsidR="00EE4102" w:rsidRPr="003A37FF">
        <w:rPr>
          <w:color w:val="000000"/>
        </w:rPr>
        <w:t>(Roberts and Bouraoui 2018)</w:t>
      </w:r>
      <w:r w:rsidR="00F84FC8" w:rsidRPr="003A37FF">
        <w:rPr>
          <w:color w:val="000000"/>
        </w:rPr>
        <w:fldChar w:fldCharType="end"/>
      </w:r>
    </w:p>
    <w:p w14:paraId="0E192BBD" w14:textId="77777777" w:rsidR="00CE790F" w:rsidRPr="003A37FF" w:rsidRDefault="00CE790F" w:rsidP="00483803">
      <w:pPr>
        <w:spacing w:line="480" w:lineRule="auto"/>
        <w:rPr>
          <w:color w:val="000000" w:themeColor="text1"/>
        </w:rPr>
      </w:pPr>
    </w:p>
    <w:p w14:paraId="648D7511" w14:textId="7EE27A14" w:rsidR="004649B5" w:rsidRPr="003A37FF" w:rsidRDefault="00483803" w:rsidP="00274629">
      <w:pPr>
        <w:spacing w:line="480" w:lineRule="auto"/>
        <w:rPr>
          <w:color w:val="000000" w:themeColor="text1"/>
        </w:rPr>
      </w:pPr>
      <w:r w:rsidRPr="003A37FF">
        <w:tab/>
        <w:t>To summarize, the financial crisis created the need for institutional investors and hedge funds to find new form of yield</w:t>
      </w:r>
      <w:r w:rsidR="006C7432" w:rsidRPr="003A37FF">
        <w:t xml:space="preserve"> and professional meaning</w:t>
      </w:r>
      <w:r w:rsidRPr="003A37FF">
        <w:t xml:space="preserve">. With so much </w:t>
      </w:r>
      <w:r w:rsidR="00FF7807" w:rsidRPr="003A37FF">
        <w:t xml:space="preserve">capital </w:t>
      </w:r>
      <w:r w:rsidRPr="003A37FF">
        <w:t xml:space="preserve">in search of new investment vehicles, the huge returns and legal ambiguity of ISDS presented a new </w:t>
      </w:r>
      <w:r w:rsidR="006C7432" w:rsidRPr="003A37FF">
        <w:t xml:space="preserve">business </w:t>
      </w:r>
      <w:r w:rsidRPr="003A37FF">
        <w:t xml:space="preserve">opportunity. </w:t>
      </w:r>
      <w:r w:rsidR="006C7432" w:rsidRPr="003A37FF">
        <w:t xml:space="preserve">Financiers with a different perspective on </w:t>
      </w:r>
      <w:r w:rsidR="00185C06" w:rsidRPr="003A37FF">
        <w:t xml:space="preserve">sources of financial investment realized the potential to arbitrage international law. </w:t>
      </w:r>
      <w:r w:rsidRPr="003A37FF">
        <w:t>The</w:t>
      </w:r>
      <w:r w:rsidR="00B97682" w:rsidRPr="003A37FF">
        <w:t xml:space="preserve">se foreigners found willing collaborators in the legal regime </w:t>
      </w:r>
      <w:r w:rsidRPr="003A37FF">
        <w:t xml:space="preserve">as lawyers were also in search of new </w:t>
      </w:r>
      <w:r w:rsidR="00BB72F4" w:rsidRPr="003A37FF">
        <w:t>professional</w:t>
      </w:r>
      <w:r w:rsidR="00185C06" w:rsidRPr="003A37FF">
        <w:t xml:space="preserve"> career ladders</w:t>
      </w:r>
      <w:r w:rsidR="00BB72F4" w:rsidRPr="003A37FF">
        <w:t xml:space="preserve"> and </w:t>
      </w:r>
      <w:r w:rsidRPr="003A37FF">
        <w:t xml:space="preserve">revenue streams. Financial professionals used the </w:t>
      </w:r>
      <w:r w:rsidR="00B97682" w:rsidRPr="003A37FF">
        <w:t xml:space="preserve">local </w:t>
      </w:r>
      <w:r w:rsidRPr="003A37FF">
        <w:t>network to attract legal talent, who would also then serve as a means to propagate the new practice to their old firms</w:t>
      </w:r>
      <w:r w:rsidR="00185C06" w:rsidRPr="003A37FF">
        <w:t xml:space="preserve"> and clients</w:t>
      </w:r>
      <w:r w:rsidR="00C33165" w:rsidRPr="003A37FF">
        <w:t>, translating the practice through legal frames</w:t>
      </w:r>
      <w:r w:rsidRPr="003A37FF">
        <w:t xml:space="preserve">. Traditional corporate clients who were suffering from </w:t>
      </w:r>
      <w:r w:rsidR="009765BB" w:rsidRPr="003A37FF">
        <w:t>financialization</w:t>
      </w:r>
      <w:r w:rsidRPr="003A37FF">
        <w:t xml:space="preserve"> pressures were then lured into the mix so that they could maintain flexibility. The way the ISDS regime is embedded in a </w:t>
      </w:r>
      <w:r w:rsidR="00823CA9" w:rsidRPr="003A37FF">
        <w:t>broader</w:t>
      </w:r>
      <w:r w:rsidRPr="003A37FF">
        <w:t xml:space="preserve"> </w:t>
      </w:r>
      <w:r w:rsidR="00823CA9" w:rsidRPr="003A37FF">
        <w:t>financial</w:t>
      </w:r>
      <w:r w:rsidRPr="003A37FF">
        <w:t xml:space="preserve"> economy, and the links across</w:t>
      </w:r>
      <w:r w:rsidR="00BB72F4" w:rsidRPr="003A37FF">
        <w:t xml:space="preserve"> fields</w:t>
      </w:r>
      <w:r w:rsidR="00823CA9" w:rsidRPr="003A37FF">
        <w:t>,</w:t>
      </w:r>
      <w:r w:rsidR="007B2395" w:rsidRPr="003A37FF">
        <w:t xml:space="preserve"> has now le</w:t>
      </w:r>
      <w:r w:rsidRPr="003A37FF">
        <w:t>d international law to b</w:t>
      </w:r>
      <w:r w:rsidR="00823CA9" w:rsidRPr="003A37FF">
        <w:t>ecome a tool of speculation that counters</w:t>
      </w:r>
      <w:r w:rsidRPr="003A37FF">
        <w:t xml:space="preserve"> many of the initial aims of its designers. </w:t>
      </w:r>
    </w:p>
    <w:p w14:paraId="6885BBBE" w14:textId="77777777" w:rsidR="004649B5" w:rsidRPr="003A37FF" w:rsidRDefault="004649B5" w:rsidP="00274629">
      <w:pPr>
        <w:spacing w:line="480" w:lineRule="auto"/>
        <w:rPr>
          <w:color w:val="000000" w:themeColor="text1"/>
        </w:rPr>
      </w:pPr>
    </w:p>
    <w:p w14:paraId="7F4796F0" w14:textId="0672FAE5" w:rsidR="00ED14AA" w:rsidRPr="003A37FF" w:rsidRDefault="00B60EAD" w:rsidP="00812EDF">
      <w:pPr>
        <w:pStyle w:val="ListParagraph"/>
        <w:numPr>
          <w:ilvl w:val="0"/>
          <w:numId w:val="1"/>
        </w:numPr>
        <w:spacing w:line="480" w:lineRule="auto"/>
        <w:rPr>
          <w:rFonts w:ascii="Times New Roman" w:hAnsi="Times New Roman" w:cs="Times New Roman"/>
          <w:b/>
          <w:color w:val="000000" w:themeColor="text1"/>
        </w:rPr>
      </w:pPr>
      <w:r w:rsidRPr="003A37FF">
        <w:rPr>
          <w:rFonts w:ascii="Times New Roman" w:hAnsi="Times New Roman" w:cs="Times New Roman"/>
          <w:b/>
          <w:color w:val="000000" w:themeColor="text1"/>
        </w:rPr>
        <w:t>Conclusions</w:t>
      </w:r>
    </w:p>
    <w:p w14:paraId="604EE473" w14:textId="4940B844" w:rsidR="00274629" w:rsidRPr="003A37FF" w:rsidRDefault="00ED14AA" w:rsidP="00274629">
      <w:pPr>
        <w:spacing w:line="480" w:lineRule="auto"/>
        <w:rPr>
          <w:color w:val="000000" w:themeColor="text1"/>
        </w:rPr>
      </w:pPr>
      <w:r w:rsidRPr="003A37FF">
        <w:rPr>
          <w:color w:val="000000" w:themeColor="text1"/>
        </w:rPr>
        <w:tab/>
        <w:t>The international investment regime has increasingly</w:t>
      </w:r>
      <w:r w:rsidR="006A5C35" w:rsidRPr="003A37FF">
        <w:rPr>
          <w:color w:val="000000" w:themeColor="text1"/>
        </w:rPr>
        <w:t xml:space="preserve"> been turned into an</w:t>
      </w:r>
      <w:r w:rsidR="00CD0FC7" w:rsidRPr="003A37FF">
        <w:rPr>
          <w:color w:val="000000" w:themeColor="text1"/>
        </w:rPr>
        <w:t xml:space="preserve"> investment vehicle. </w:t>
      </w:r>
      <w:r w:rsidR="00FB0A44" w:rsidRPr="003A37FF">
        <w:rPr>
          <w:color w:val="000000" w:themeColor="text1"/>
        </w:rPr>
        <w:t>Third-party</w:t>
      </w:r>
      <w:r w:rsidR="00CD0FC7" w:rsidRPr="003A37FF">
        <w:rPr>
          <w:color w:val="000000" w:themeColor="text1"/>
        </w:rPr>
        <w:t xml:space="preserve"> financiers underwrite firm suits against governments in return for a cut of potential awards. Given that the investment regime was initially created to guard against unnecessary expropriation, this is certainly a major shift in the use of the regime</w:t>
      </w:r>
      <w:r w:rsidR="00BB72F4" w:rsidRPr="003A37FF">
        <w:rPr>
          <w:color w:val="000000" w:themeColor="text1"/>
        </w:rPr>
        <w:t xml:space="preserve"> and its function</w:t>
      </w:r>
      <w:r w:rsidR="00CD0FC7" w:rsidRPr="003A37FF">
        <w:rPr>
          <w:color w:val="000000" w:themeColor="text1"/>
        </w:rPr>
        <w:t xml:space="preserve">. </w:t>
      </w:r>
      <w:r w:rsidR="003A37DB" w:rsidRPr="003A37FF">
        <w:rPr>
          <w:color w:val="000000" w:themeColor="text1"/>
        </w:rPr>
        <w:t>Addressing such</w:t>
      </w:r>
      <w:r w:rsidRPr="003A37FF">
        <w:rPr>
          <w:color w:val="000000" w:themeColor="text1"/>
        </w:rPr>
        <w:t xml:space="preserve"> unintended consequences of international regimes </w:t>
      </w:r>
      <w:r w:rsidR="003A37DB" w:rsidRPr="003A37FF">
        <w:rPr>
          <w:color w:val="000000" w:themeColor="text1"/>
        </w:rPr>
        <w:t>continues to plague theories of international affairs</w:t>
      </w:r>
      <w:r w:rsidR="00414E1C" w:rsidRPr="003A37FF">
        <w:rPr>
          <w:color w:val="000000" w:themeColor="text1"/>
        </w:rPr>
        <w:t xml:space="preserve"> </w:t>
      </w:r>
      <w:r w:rsidR="00CD442B" w:rsidRPr="003A37FF">
        <w:rPr>
          <w:color w:val="000000" w:themeColor="text1"/>
        </w:rPr>
        <w:fldChar w:fldCharType="begin"/>
      </w:r>
      <w:r w:rsidR="00EE4102" w:rsidRPr="003A37FF">
        <w:rPr>
          <w:color w:val="000000" w:themeColor="text1"/>
        </w:rPr>
        <w:instrText xml:space="preserve"> ADDIN ZOTERO_ITEM CSL_CITATION {"citationID":"a2dag92rkqq","properties":{"formattedCitation":"(Barnett and Finnemore 1999)","plainCitation":"(Barnett and Finnemore 1999)","noteIndex":0},"citationItems":[{"id":144,"uris":["http://zotero.org/users/local/oXQBh7r1/items/4P32GDBI"],"uri":["http://zotero.org/users/local/oXQBh7r1/items/4P32GDBI"],"itemData":{"id":144,"type":"article-journal","container-title":"International organization","issue":"04","page":"699–732","source":"Google Scholar","title":"The Politics, power, and pathologies of international organizations","volume":"53","author":[{"family":"Barnett","given":"Michael N."},{"family":"Finnemore","given":"Martha"}],"issued":{"date-parts":[["1999"]]}}}],"schema":"https://github.com/citation-style-language/schema/raw/master/csl-citation.json"} </w:instrText>
      </w:r>
      <w:r w:rsidR="00CD442B" w:rsidRPr="003A37FF">
        <w:rPr>
          <w:color w:val="000000" w:themeColor="text1"/>
        </w:rPr>
        <w:fldChar w:fldCharType="separate"/>
      </w:r>
      <w:r w:rsidR="00EE4102" w:rsidRPr="003A37FF">
        <w:rPr>
          <w:color w:val="000000"/>
        </w:rPr>
        <w:t>(Barnett and Finnemore 1999)</w:t>
      </w:r>
      <w:r w:rsidR="00CD442B" w:rsidRPr="003A37FF">
        <w:rPr>
          <w:color w:val="000000" w:themeColor="text1"/>
        </w:rPr>
        <w:fldChar w:fldCharType="end"/>
      </w:r>
      <w:r w:rsidR="00CD442B" w:rsidRPr="003A37FF">
        <w:rPr>
          <w:color w:val="000000" w:themeColor="text1"/>
        </w:rPr>
        <w:t>.</w:t>
      </w:r>
    </w:p>
    <w:p w14:paraId="0D0B1754" w14:textId="41D02A2E" w:rsidR="00EF5FE2" w:rsidRPr="003A37FF" w:rsidRDefault="003A37DB" w:rsidP="00274629">
      <w:pPr>
        <w:spacing w:line="480" w:lineRule="auto"/>
        <w:rPr>
          <w:color w:val="000000" w:themeColor="text1"/>
        </w:rPr>
      </w:pPr>
      <w:r w:rsidRPr="003A37FF">
        <w:rPr>
          <w:color w:val="000000" w:themeColor="text1"/>
        </w:rPr>
        <w:lastRenderedPageBreak/>
        <w:tab/>
      </w:r>
      <w:r w:rsidR="00A61EF9">
        <w:rPr>
          <w:color w:val="000000" w:themeColor="text1"/>
        </w:rPr>
        <w:t>W</w:t>
      </w:r>
      <w:r w:rsidRPr="003A37FF">
        <w:rPr>
          <w:color w:val="000000" w:themeColor="text1"/>
        </w:rPr>
        <w:t xml:space="preserve">e offer one important channel to explain these contradictions and tensions. In particular, we argue that regimes do not exist in isolation but </w:t>
      </w:r>
      <w:r w:rsidR="00CD0FC7" w:rsidRPr="003A37FF">
        <w:rPr>
          <w:color w:val="000000" w:themeColor="text1"/>
        </w:rPr>
        <w:t>are embedded in larger social dynamics</w:t>
      </w:r>
      <w:r w:rsidRPr="003A37FF">
        <w:rPr>
          <w:color w:val="000000" w:themeColor="text1"/>
        </w:rPr>
        <w:t xml:space="preserve">. This </w:t>
      </w:r>
      <w:r w:rsidR="00CD442B" w:rsidRPr="003A37FF">
        <w:rPr>
          <w:color w:val="000000" w:themeColor="text1"/>
        </w:rPr>
        <w:t xml:space="preserve">synergy </w:t>
      </w:r>
      <w:r w:rsidRPr="003A37FF">
        <w:rPr>
          <w:color w:val="000000" w:themeColor="text1"/>
        </w:rPr>
        <w:t xml:space="preserve">is not just about the formal rules or institutions but also the </w:t>
      </w:r>
      <w:r w:rsidR="000D3126" w:rsidRPr="003A37FF">
        <w:rPr>
          <w:color w:val="000000" w:themeColor="text1"/>
        </w:rPr>
        <w:t>individuals</w:t>
      </w:r>
      <w:r w:rsidR="008764CA" w:rsidRPr="003A37FF">
        <w:rPr>
          <w:color w:val="000000" w:themeColor="text1"/>
        </w:rPr>
        <w:t xml:space="preserve"> that populate regime</w:t>
      </w:r>
      <w:r w:rsidR="00730F4D" w:rsidRPr="003A37FF">
        <w:rPr>
          <w:color w:val="000000" w:themeColor="text1"/>
        </w:rPr>
        <w:t>s</w:t>
      </w:r>
      <w:r w:rsidRPr="003A37FF">
        <w:rPr>
          <w:color w:val="000000" w:themeColor="text1"/>
        </w:rPr>
        <w:t xml:space="preserve">. Here we draw on research on the sociology of </w:t>
      </w:r>
      <w:r w:rsidR="00CD0FC7" w:rsidRPr="003A37FF">
        <w:rPr>
          <w:color w:val="000000" w:themeColor="text1"/>
        </w:rPr>
        <w:t>fields</w:t>
      </w:r>
      <w:r w:rsidRPr="003A37FF">
        <w:rPr>
          <w:color w:val="000000" w:themeColor="text1"/>
        </w:rPr>
        <w:t xml:space="preserve"> to argue that these people bring</w:t>
      </w:r>
      <w:r w:rsidR="008764CA" w:rsidRPr="003A37FF">
        <w:rPr>
          <w:color w:val="000000" w:themeColor="text1"/>
        </w:rPr>
        <w:t xml:space="preserve"> their</w:t>
      </w:r>
      <w:r w:rsidRPr="003A37FF">
        <w:rPr>
          <w:color w:val="000000" w:themeColor="text1"/>
        </w:rPr>
        <w:t xml:space="preserve"> native practices and routines to any given setting. In other words, they will see and use the regime through the lens of their home </w:t>
      </w:r>
      <w:r w:rsidR="00CD0FC7" w:rsidRPr="003A37FF">
        <w:rPr>
          <w:color w:val="000000" w:themeColor="text1"/>
        </w:rPr>
        <w:t xml:space="preserve">field, </w:t>
      </w:r>
      <w:r w:rsidR="00730F4D" w:rsidRPr="003A37FF">
        <w:rPr>
          <w:color w:val="000000" w:themeColor="text1"/>
        </w:rPr>
        <w:t xml:space="preserve">translating and </w:t>
      </w:r>
      <w:r w:rsidR="00CD0FC7" w:rsidRPr="003A37FF">
        <w:rPr>
          <w:color w:val="000000" w:themeColor="text1"/>
        </w:rPr>
        <w:t>reinterpreting practice accordingly</w:t>
      </w:r>
      <w:r w:rsidRPr="003A37FF">
        <w:rPr>
          <w:color w:val="000000" w:themeColor="text1"/>
        </w:rPr>
        <w:t xml:space="preserve">. </w:t>
      </w:r>
    </w:p>
    <w:p w14:paraId="2ADA3C3A" w14:textId="2CF5CC1A" w:rsidR="00FD5BA5" w:rsidRPr="003A37FF" w:rsidRDefault="003A37DB" w:rsidP="00EF5FE2">
      <w:pPr>
        <w:spacing w:line="480" w:lineRule="auto"/>
        <w:ind w:firstLine="720"/>
        <w:rPr>
          <w:color w:val="000000" w:themeColor="text1"/>
        </w:rPr>
      </w:pPr>
      <w:r w:rsidRPr="003A37FF">
        <w:rPr>
          <w:color w:val="000000" w:themeColor="text1"/>
        </w:rPr>
        <w:t>The</w:t>
      </w:r>
      <w:r w:rsidR="00B97792" w:rsidRPr="003A37FF">
        <w:rPr>
          <w:color w:val="000000" w:themeColor="text1"/>
        </w:rPr>
        <w:t xml:space="preserve"> article</w:t>
      </w:r>
      <w:r w:rsidRPr="003A37FF">
        <w:rPr>
          <w:color w:val="000000" w:themeColor="text1"/>
        </w:rPr>
        <w:t>, then, demonstrates how financial actors came into contact with</w:t>
      </w:r>
      <w:r w:rsidR="00FD5BA5" w:rsidRPr="003A37FF">
        <w:rPr>
          <w:color w:val="000000" w:themeColor="text1"/>
        </w:rPr>
        <w:t xml:space="preserve"> the international investment regime</w:t>
      </w:r>
      <w:r w:rsidRPr="003A37FF">
        <w:rPr>
          <w:color w:val="000000" w:themeColor="text1"/>
        </w:rPr>
        <w:t xml:space="preserve"> </w:t>
      </w:r>
      <w:r w:rsidR="00FD5BA5" w:rsidRPr="003A37FF">
        <w:rPr>
          <w:color w:val="000000" w:themeColor="text1"/>
        </w:rPr>
        <w:t>following</w:t>
      </w:r>
      <w:r w:rsidRPr="003A37FF">
        <w:rPr>
          <w:color w:val="000000" w:themeColor="text1"/>
        </w:rPr>
        <w:t xml:space="preserve"> the 2008 financial crisis. They found a set of legal actors in need of</w:t>
      </w:r>
      <w:r w:rsidR="00730F4D" w:rsidRPr="003A37FF">
        <w:rPr>
          <w:color w:val="000000" w:themeColor="text1"/>
        </w:rPr>
        <w:t xml:space="preserve"> </w:t>
      </w:r>
      <w:r w:rsidR="0006716B" w:rsidRPr="003A37FF">
        <w:rPr>
          <w:color w:val="000000" w:themeColor="text1"/>
        </w:rPr>
        <w:t xml:space="preserve">material </w:t>
      </w:r>
      <w:r w:rsidR="00730F4D" w:rsidRPr="003A37FF">
        <w:rPr>
          <w:color w:val="000000" w:themeColor="text1"/>
        </w:rPr>
        <w:t>and status</w:t>
      </w:r>
      <w:r w:rsidRPr="003A37FF">
        <w:rPr>
          <w:color w:val="000000" w:themeColor="text1"/>
        </w:rPr>
        <w:t xml:space="preserve"> resources at the same time that they themselves sought out new </w:t>
      </w:r>
      <w:r w:rsidR="00FE0DE6" w:rsidRPr="003A37FF">
        <w:rPr>
          <w:color w:val="000000" w:themeColor="text1"/>
        </w:rPr>
        <w:t xml:space="preserve">means </w:t>
      </w:r>
      <w:r w:rsidRPr="003A37FF">
        <w:rPr>
          <w:color w:val="000000" w:themeColor="text1"/>
        </w:rPr>
        <w:t>of economic return</w:t>
      </w:r>
      <w:r w:rsidR="00730F4D" w:rsidRPr="003A37FF">
        <w:rPr>
          <w:color w:val="000000" w:themeColor="text1"/>
        </w:rPr>
        <w:t xml:space="preserve"> and business entrepreneurship</w:t>
      </w:r>
      <w:r w:rsidRPr="003A37FF">
        <w:rPr>
          <w:color w:val="000000" w:themeColor="text1"/>
        </w:rPr>
        <w:t>. The</w:t>
      </w:r>
      <w:r w:rsidR="001A16E1" w:rsidRPr="003A37FF">
        <w:rPr>
          <w:color w:val="000000" w:themeColor="text1"/>
        </w:rPr>
        <w:t xml:space="preserve"> result was </w:t>
      </w:r>
      <w:r w:rsidR="00F442D0" w:rsidRPr="003A37FF">
        <w:rPr>
          <w:color w:val="000000" w:themeColor="text1"/>
        </w:rPr>
        <w:t xml:space="preserve">the growth of the </w:t>
      </w:r>
      <w:r w:rsidR="00FB0A44" w:rsidRPr="003A37FF">
        <w:rPr>
          <w:color w:val="000000" w:themeColor="text1"/>
        </w:rPr>
        <w:t>third-party</w:t>
      </w:r>
      <w:r w:rsidR="00F442D0" w:rsidRPr="003A37FF">
        <w:rPr>
          <w:color w:val="000000" w:themeColor="text1"/>
        </w:rPr>
        <w:t xml:space="preserve"> finance industry and </w:t>
      </w:r>
      <w:r w:rsidR="001A16E1" w:rsidRPr="003A37FF">
        <w:rPr>
          <w:color w:val="000000" w:themeColor="text1"/>
        </w:rPr>
        <w:t>the</w:t>
      </w:r>
      <w:r w:rsidR="00F442D0" w:rsidRPr="003A37FF">
        <w:rPr>
          <w:color w:val="000000" w:themeColor="text1"/>
        </w:rPr>
        <w:t xml:space="preserve"> eventual</w:t>
      </w:r>
      <w:r w:rsidRPr="003A37FF">
        <w:rPr>
          <w:color w:val="000000" w:themeColor="text1"/>
        </w:rPr>
        <w:t xml:space="preserve"> financialization of ISDS. </w:t>
      </w:r>
      <w:r w:rsidR="003D20D6" w:rsidRPr="003A37FF">
        <w:rPr>
          <w:color w:val="000000" w:themeColor="text1"/>
        </w:rPr>
        <w:t xml:space="preserve">In many ways, the phenomenon is a natural extension of </w:t>
      </w:r>
      <w:r w:rsidR="00CA6579" w:rsidRPr="003A37FF">
        <w:rPr>
          <w:color w:val="000000" w:themeColor="text1"/>
        </w:rPr>
        <w:t>field</w:t>
      </w:r>
      <w:r w:rsidR="003D20D6" w:rsidRPr="003A37FF">
        <w:rPr>
          <w:color w:val="000000" w:themeColor="text1"/>
        </w:rPr>
        <w:t xml:space="preserve"> interaction fr</w:t>
      </w:r>
      <w:r w:rsidR="00137F1D" w:rsidRPr="003A37FF">
        <w:rPr>
          <w:color w:val="000000" w:themeColor="text1"/>
        </w:rPr>
        <w:t xml:space="preserve">om a previous era. As Dezaley and Garth </w:t>
      </w:r>
      <w:r w:rsidR="00137F1D" w:rsidRPr="003A37FF">
        <w:rPr>
          <w:color w:val="000000" w:themeColor="text1"/>
        </w:rPr>
        <w:fldChar w:fldCharType="begin"/>
      </w:r>
      <w:r w:rsidR="00E80061" w:rsidRPr="003A37FF">
        <w:rPr>
          <w:color w:val="000000" w:themeColor="text1"/>
        </w:rPr>
        <w:instrText xml:space="preserve"> ADDIN ZOTERO_ITEM CSL_CITATION {"citationID":"ZknI4hR7","properties":{"formattedCitation":"(1996)","plainCitation":"(1996)","noteIndex":0},"citationItems":[{"id":5166,"uris":["http://zotero.org/users/local/oXQBh7r1/items/3X2DCRTW"],"uri":["http://zotero.org/users/local/oXQBh7r1/items/3X2DCRTW"],"itemData":{"id":5166,"type":"book","publisher":"University of Chicago Press","source":"Google Scholar","title":"Dealing in virtue: International commercial arbitration and the construction of a transnational legal order","title-short":"Dealing in virtue","author":[{"family":"Dezalay","given":"Yves"},{"family":"Garth","given":"Bryant G."}],"issued":{"date-parts":[["1996"]]}},"suppress-author":true}],"schema":"https://github.com/citation-style-language/schema/raw/master/csl-citation.json"} </w:instrText>
      </w:r>
      <w:r w:rsidR="00137F1D" w:rsidRPr="003A37FF">
        <w:rPr>
          <w:color w:val="000000" w:themeColor="text1"/>
        </w:rPr>
        <w:fldChar w:fldCharType="separate"/>
      </w:r>
      <w:r w:rsidR="00137F1D" w:rsidRPr="003A37FF">
        <w:rPr>
          <w:noProof/>
          <w:color w:val="000000" w:themeColor="text1"/>
        </w:rPr>
        <w:t>(1996)</w:t>
      </w:r>
      <w:r w:rsidR="00137F1D" w:rsidRPr="003A37FF">
        <w:rPr>
          <w:color w:val="000000" w:themeColor="text1"/>
        </w:rPr>
        <w:fldChar w:fldCharType="end"/>
      </w:r>
      <w:r w:rsidR="00137F1D" w:rsidRPr="003A37FF">
        <w:rPr>
          <w:color w:val="000000" w:themeColor="text1"/>
        </w:rPr>
        <w:t xml:space="preserve"> showed, lawyers from different legal </w:t>
      </w:r>
      <w:r w:rsidR="00CA6579" w:rsidRPr="003A37FF">
        <w:rPr>
          <w:color w:val="000000" w:themeColor="text1"/>
        </w:rPr>
        <w:t>domains</w:t>
      </w:r>
      <w:r w:rsidR="00137F1D" w:rsidRPr="003A37FF">
        <w:rPr>
          <w:color w:val="000000" w:themeColor="text1"/>
        </w:rPr>
        <w:t xml:space="preserve"> fought to turn commercial</w:t>
      </w:r>
      <w:r w:rsidR="0006716B" w:rsidRPr="003A37FF">
        <w:rPr>
          <w:color w:val="000000" w:themeColor="text1"/>
        </w:rPr>
        <w:t xml:space="preserve"> private</w:t>
      </w:r>
      <w:r w:rsidR="00137F1D" w:rsidRPr="003A37FF">
        <w:rPr>
          <w:color w:val="000000" w:themeColor="text1"/>
        </w:rPr>
        <w:t xml:space="preserve"> arbitration into a serious revenue generator and status resource. Now a similar class of individuals were primed for innovation, and cross</w:t>
      </w:r>
      <w:r w:rsidR="00FE0DE6" w:rsidRPr="003A37FF">
        <w:rPr>
          <w:color w:val="000000" w:themeColor="text1"/>
        </w:rPr>
        <w:t>-</w:t>
      </w:r>
      <w:r w:rsidR="00CA6579" w:rsidRPr="003A37FF">
        <w:rPr>
          <w:color w:val="000000" w:themeColor="text1"/>
        </w:rPr>
        <w:t>field</w:t>
      </w:r>
      <w:r w:rsidR="00137F1D" w:rsidRPr="003A37FF">
        <w:rPr>
          <w:color w:val="000000" w:themeColor="text1"/>
        </w:rPr>
        <w:t xml:space="preserve"> coalition building, following the financial crisis. </w:t>
      </w:r>
    </w:p>
    <w:p w14:paraId="792391A2" w14:textId="4A9DA5C0" w:rsidR="00D4242E" w:rsidRPr="003A37FF" w:rsidRDefault="00FD5BA5" w:rsidP="00C025DE">
      <w:pPr>
        <w:spacing w:line="480" w:lineRule="auto"/>
        <w:ind w:firstLine="720"/>
      </w:pPr>
      <w:r w:rsidRPr="003A37FF">
        <w:rPr>
          <w:color w:val="000000" w:themeColor="text1"/>
        </w:rPr>
        <w:t xml:space="preserve">The ISDS regime has been substantially more politicized in recent years as cases </w:t>
      </w:r>
      <w:r w:rsidR="00CC3117" w:rsidRPr="003A37FF">
        <w:rPr>
          <w:color w:val="000000" w:themeColor="text1"/>
        </w:rPr>
        <w:t>turned</w:t>
      </w:r>
      <w:r w:rsidRPr="003A37FF">
        <w:rPr>
          <w:color w:val="000000" w:themeColor="text1"/>
        </w:rPr>
        <w:t xml:space="preserve"> toward “frivolous” regulation related disputes. IPE scholars have argued that this shift is driven by attempts to </w:t>
      </w:r>
      <w:r w:rsidR="00730F4D" w:rsidRPr="003A37FF">
        <w:rPr>
          <w:color w:val="000000" w:themeColor="text1"/>
        </w:rPr>
        <w:t xml:space="preserve">deter governments </w:t>
      </w:r>
      <w:r w:rsidRPr="003A37FF">
        <w:rPr>
          <w:color w:val="000000" w:themeColor="text1"/>
        </w:rPr>
        <w:t>from adopting similar rules that could hurt the bottom lines of industrial firms. But these models treat the situation as a set of bargains between industrial firms and the state without factoring in TPF. The rise of these new play</w:t>
      </w:r>
      <w:r w:rsidR="00CA6579" w:rsidRPr="003A37FF">
        <w:rPr>
          <w:color w:val="000000" w:themeColor="text1"/>
        </w:rPr>
        <w:t>er</w:t>
      </w:r>
      <w:r w:rsidRPr="003A37FF">
        <w:rPr>
          <w:color w:val="000000" w:themeColor="text1"/>
        </w:rPr>
        <w:t>s suggest</w:t>
      </w:r>
      <w:r w:rsidR="00FE0DE6" w:rsidRPr="003A37FF">
        <w:rPr>
          <w:color w:val="000000" w:themeColor="text1"/>
        </w:rPr>
        <w:t>s</w:t>
      </w:r>
      <w:r w:rsidRPr="003A37FF">
        <w:rPr>
          <w:color w:val="000000" w:themeColor="text1"/>
        </w:rPr>
        <w:t xml:space="preserve"> that the regulatory turn could instead be a result of financiers seeking new sources of profit.</w:t>
      </w:r>
      <w:r w:rsidR="00FD2588" w:rsidRPr="003A37FF">
        <w:rPr>
          <w:color w:val="000000" w:themeColor="text1"/>
        </w:rPr>
        <w:t xml:space="preserve"> Speculators, unlike </w:t>
      </w:r>
      <w:r w:rsidR="00FD2588" w:rsidRPr="003A37FF">
        <w:rPr>
          <w:color w:val="000000" w:themeColor="text1"/>
        </w:rPr>
        <w:lastRenderedPageBreak/>
        <w:t xml:space="preserve">their industrial partners, have no need to maintain any long-term relationships with host governments – they can be more aggressive in their dealings. </w:t>
      </w:r>
      <w:r w:rsidRPr="003A37FF">
        <w:rPr>
          <w:color w:val="000000" w:themeColor="text1"/>
        </w:rPr>
        <w:t>TPF in ISDS</w:t>
      </w:r>
      <w:r w:rsidR="00FD2588" w:rsidRPr="003A37FF">
        <w:rPr>
          <w:color w:val="000000" w:themeColor="text1"/>
        </w:rPr>
        <w:t xml:space="preserve"> then</w:t>
      </w:r>
      <w:r w:rsidRPr="003A37FF">
        <w:rPr>
          <w:color w:val="000000" w:themeColor="text1"/>
        </w:rPr>
        <w:t xml:space="preserve"> skews</w:t>
      </w:r>
      <w:r w:rsidR="003A37DB" w:rsidRPr="003A37FF">
        <w:rPr>
          <w:color w:val="000000" w:themeColor="text1"/>
        </w:rPr>
        <w:t xml:space="preserve"> the distributional </w:t>
      </w:r>
      <w:r w:rsidRPr="003A37FF">
        <w:rPr>
          <w:color w:val="000000" w:themeColor="text1"/>
        </w:rPr>
        <w:t xml:space="preserve">effects </w:t>
      </w:r>
      <w:r w:rsidR="003A37DB" w:rsidRPr="003A37FF">
        <w:rPr>
          <w:color w:val="000000" w:themeColor="text1"/>
        </w:rPr>
        <w:t xml:space="preserve">of the regime away from states </w:t>
      </w:r>
      <w:r w:rsidR="001A16E1" w:rsidRPr="003A37FF">
        <w:rPr>
          <w:color w:val="000000" w:themeColor="text1"/>
        </w:rPr>
        <w:t xml:space="preserve">and </w:t>
      </w:r>
      <w:r w:rsidR="003A37DB" w:rsidRPr="003A37FF">
        <w:rPr>
          <w:color w:val="000000" w:themeColor="text1"/>
        </w:rPr>
        <w:t xml:space="preserve">the participating firms toward the </w:t>
      </w:r>
      <w:r w:rsidR="00FD2588" w:rsidRPr="003A37FF">
        <w:rPr>
          <w:color w:val="000000" w:themeColor="text1"/>
        </w:rPr>
        <w:t xml:space="preserve">financial </w:t>
      </w:r>
      <w:r w:rsidR="003A37DB" w:rsidRPr="003A37FF">
        <w:rPr>
          <w:color w:val="000000" w:themeColor="text1"/>
        </w:rPr>
        <w:t xml:space="preserve">class. </w:t>
      </w:r>
    </w:p>
    <w:p w14:paraId="56B3CEE1" w14:textId="1CEC99E2" w:rsidR="003A37DB" w:rsidRPr="003A37FF" w:rsidRDefault="003A37DB" w:rsidP="00274629">
      <w:pPr>
        <w:spacing w:line="480" w:lineRule="auto"/>
        <w:rPr>
          <w:color w:val="000000" w:themeColor="text1"/>
        </w:rPr>
      </w:pPr>
      <w:r w:rsidRPr="003A37FF">
        <w:rPr>
          <w:color w:val="000000" w:themeColor="text1"/>
        </w:rPr>
        <w:tab/>
      </w:r>
      <w:r w:rsidR="00EF5FE2" w:rsidRPr="003A37FF">
        <w:rPr>
          <w:color w:val="000000" w:themeColor="text1"/>
        </w:rPr>
        <w:t>In addition to shedding light on the shift</w:t>
      </w:r>
      <w:r w:rsidR="009A630F" w:rsidRPr="003A37FF">
        <w:rPr>
          <w:color w:val="000000" w:themeColor="text1"/>
        </w:rPr>
        <w:t xml:space="preserve">ing political dynamics </w:t>
      </w:r>
      <w:r w:rsidR="00EF5FE2" w:rsidRPr="003A37FF">
        <w:rPr>
          <w:color w:val="000000" w:themeColor="text1"/>
        </w:rPr>
        <w:t>of the regime, the paper also raises key normative questions. As has been shown in the domestic literature on financialization, the financial community can start a process of self-reinforcement</w:t>
      </w:r>
      <w:r w:rsidR="00FD5BA5" w:rsidRPr="003A37FF">
        <w:rPr>
          <w:color w:val="000000" w:themeColor="text1"/>
        </w:rPr>
        <w:t xml:space="preserve"> (Pagliar</w:t>
      </w:r>
      <w:r w:rsidR="00FD2588" w:rsidRPr="003A37FF">
        <w:rPr>
          <w:color w:val="000000" w:themeColor="text1"/>
        </w:rPr>
        <w:t>i</w:t>
      </w:r>
      <w:r w:rsidR="00FD5BA5" w:rsidRPr="003A37FF">
        <w:rPr>
          <w:color w:val="000000" w:themeColor="text1"/>
        </w:rPr>
        <w:t xml:space="preserve"> and Young 2020)</w:t>
      </w:r>
      <w:r w:rsidR="00EF5FE2" w:rsidRPr="003A37FF">
        <w:rPr>
          <w:color w:val="000000" w:themeColor="text1"/>
        </w:rPr>
        <w:t xml:space="preserve">, which undermines objectivity and benefits </w:t>
      </w:r>
      <w:r w:rsidR="008764CA" w:rsidRPr="003A37FF">
        <w:rPr>
          <w:color w:val="000000" w:themeColor="text1"/>
        </w:rPr>
        <w:t>insiders</w:t>
      </w:r>
      <w:r w:rsidR="00EF5FE2" w:rsidRPr="003A37FF">
        <w:rPr>
          <w:color w:val="000000" w:themeColor="text1"/>
        </w:rPr>
        <w:t xml:space="preserve">. As </w:t>
      </w:r>
      <w:r w:rsidR="00ED76EB" w:rsidRPr="003A37FF">
        <w:rPr>
          <w:i/>
          <w:color w:val="000000" w:themeColor="text1"/>
        </w:rPr>
        <w:t>Corporate Europe Observatory</w:t>
      </w:r>
      <w:r w:rsidR="00ED76EB" w:rsidRPr="003A37FF">
        <w:rPr>
          <w:color w:val="000000" w:themeColor="text1"/>
        </w:rPr>
        <w:t xml:space="preserve"> </w:t>
      </w:r>
      <w:r w:rsidR="001A16E1" w:rsidRPr="003A37FF">
        <w:rPr>
          <w:color w:val="000000" w:themeColor="text1"/>
        </w:rPr>
        <w:t xml:space="preserve">(2012) </w:t>
      </w:r>
      <w:r w:rsidR="00ED76EB" w:rsidRPr="003A37FF">
        <w:rPr>
          <w:color w:val="000000" w:themeColor="text1"/>
        </w:rPr>
        <w:t>explains:</w:t>
      </w:r>
    </w:p>
    <w:p w14:paraId="536DD5EB" w14:textId="37B467CC" w:rsidR="00A54DB1" w:rsidRPr="003A37FF" w:rsidRDefault="00A54DB1" w:rsidP="00EF5FE2">
      <w:pPr>
        <w:rPr>
          <w:color w:val="000000" w:themeColor="text1"/>
        </w:rPr>
      </w:pPr>
      <w:r w:rsidRPr="003A37FF">
        <w:rPr>
          <w:color w:val="000000" w:themeColor="text1"/>
        </w:rPr>
        <w:t>These close networks raise a long list of potential conflicts of interest. For example, where arbitrators are also lawyers at firms that funders work closely with, or when arbitrators also sit as counsel in another case financed by the same funder. More likely still, arbitrators may have former partners that are now executives of third-party funders. In fact, some funders and law firms are owned (in part or full) by the same parties. These potential conflicts of interest seriously call into question the ability of arbitrators to evaluate a case impartially, fearing the consequences</w:t>
      </w:r>
    </w:p>
    <w:p w14:paraId="59321D4C" w14:textId="77777777" w:rsidR="00FD7AD4" w:rsidRPr="003A37FF" w:rsidRDefault="00FD7AD4" w:rsidP="00C82FEC">
      <w:pPr>
        <w:spacing w:line="480" w:lineRule="auto"/>
        <w:rPr>
          <w:color w:val="000000" w:themeColor="text1"/>
        </w:rPr>
      </w:pPr>
    </w:p>
    <w:p w14:paraId="4D63184F" w14:textId="7015D8DF" w:rsidR="009C79D3" w:rsidRPr="003A37FF" w:rsidRDefault="00430F74" w:rsidP="009C79D3">
      <w:pPr>
        <w:spacing w:line="480" w:lineRule="auto"/>
        <w:rPr>
          <w:color w:val="000000" w:themeColor="text1"/>
        </w:rPr>
      </w:pPr>
      <w:r w:rsidRPr="003A37FF">
        <w:rPr>
          <w:color w:val="000000" w:themeColor="text1"/>
        </w:rPr>
        <w:tab/>
        <w:t xml:space="preserve">None of this is to say that states are powerless. Numerous governments have </w:t>
      </w:r>
      <w:r w:rsidR="008764CA" w:rsidRPr="003A37FF">
        <w:rPr>
          <w:color w:val="000000" w:themeColor="text1"/>
        </w:rPr>
        <w:t>cited</w:t>
      </w:r>
      <w:r w:rsidRPr="003A37FF">
        <w:rPr>
          <w:color w:val="000000" w:themeColor="text1"/>
        </w:rPr>
        <w:t xml:space="preserve"> the unfair playing field created by the growth of </w:t>
      </w:r>
      <w:r w:rsidR="00FB0A44" w:rsidRPr="003A37FF">
        <w:rPr>
          <w:color w:val="000000" w:themeColor="text1"/>
        </w:rPr>
        <w:t>third-party</w:t>
      </w:r>
      <w:r w:rsidRPr="003A37FF">
        <w:rPr>
          <w:color w:val="000000" w:themeColor="text1"/>
        </w:rPr>
        <w:t xml:space="preserve"> finance arrangement</w:t>
      </w:r>
      <w:r w:rsidR="008764CA" w:rsidRPr="003A37FF">
        <w:rPr>
          <w:color w:val="000000" w:themeColor="text1"/>
        </w:rPr>
        <w:t>s, using the controversial optics as their own rhetorical cudgel</w:t>
      </w:r>
      <w:r w:rsidRPr="003A37FF">
        <w:rPr>
          <w:color w:val="000000" w:themeColor="text1"/>
        </w:rPr>
        <w:t xml:space="preserve">. </w:t>
      </w:r>
      <w:r w:rsidR="002D257E" w:rsidRPr="003A37FF">
        <w:rPr>
          <w:color w:val="000000" w:themeColor="text1"/>
        </w:rPr>
        <w:t>S</w:t>
      </w:r>
      <w:r w:rsidRPr="003A37FF">
        <w:rPr>
          <w:color w:val="000000" w:themeColor="text1"/>
        </w:rPr>
        <w:t xml:space="preserve">ome appear to have benefited from the financialization process. Famously, the Bloomberg Foundation anti-tobacco campaign provided funds to Uruguay to fight arbitration claims filed by smoking giant Phillip Morris </w:t>
      </w:r>
      <w:r w:rsidRPr="003A37FF">
        <w:rPr>
          <w:color w:val="000000" w:themeColor="text1"/>
        </w:rPr>
        <w:fldChar w:fldCharType="begin"/>
      </w:r>
      <w:r w:rsidR="00E80061" w:rsidRPr="003A37FF">
        <w:rPr>
          <w:color w:val="000000" w:themeColor="text1"/>
        </w:rPr>
        <w:instrText xml:space="preserve"> ADDIN ZOTERO_ITEM CSL_CITATION {"citationID":"UKdF1Myn","properties":{"formattedCitation":"(Brekoulakis and Rogers 2019, 7)","plainCitation":"(Brekoulakis and Rogers 2019, 7)","noteIndex":0},"citationItems":[{"id":5164,"uris":["http://zotero.org/users/local/oXQBh7r1/items/S3DXHDI8"],"uri":["http://zotero.org/users/local/oXQBh7r1/items/S3DXHDI8"],"itemData":{"id":5164,"type":"report","collection-title":"Academic Forum on ISDS Concept Paper 2019/11","number":"Version 2","title":"Third Party Financing in ISDS A Framework for Understanding Practice and Policy Regarding Third-Party Financing in ISDS","author":[{"family":"Brekoulakis","given":"Stavros"},{"family":"Rogers","given":"Catherine"}],"issued":{"date-parts":[["2019",7,31]]}},"locator":"7"}],"schema":"https://github.com/citation-style-language/schema/raw/master/csl-citation.json"} </w:instrText>
      </w:r>
      <w:r w:rsidRPr="003A37FF">
        <w:rPr>
          <w:color w:val="000000" w:themeColor="text1"/>
        </w:rPr>
        <w:fldChar w:fldCharType="separate"/>
      </w:r>
      <w:r w:rsidRPr="003A37FF">
        <w:rPr>
          <w:noProof/>
          <w:color w:val="000000" w:themeColor="text1"/>
        </w:rPr>
        <w:t>(Brekoulakis and Rogers 2019, 7)</w:t>
      </w:r>
      <w:r w:rsidRPr="003A37FF">
        <w:rPr>
          <w:color w:val="000000" w:themeColor="text1"/>
        </w:rPr>
        <w:fldChar w:fldCharType="end"/>
      </w:r>
      <w:r w:rsidRPr="003A37FF">
        <w:rPr>
          <w:color w:val="000000" w:themeColor="text1"/>
        </w:rPr>
        <w:t xml:space="preserve">. There are, however, inherent limits to the way states and their citizens could gain, as the investment regime does not provide them recourse </w:t>
      </w:r>
      <w:r w:rsidR="008764CA" w:rsidRPr="003A37FF">
        <w:rPr>
          <w:color w:val="000000" w:themeColor="text1"/>
        </w:rPr>
        <w:t>for</w:t>
      </w:r>
      <w:r w:rsidRPr="003A37FF">
        <w:rPr>
          <w:color w:val="000000" w:themeColor="text1"/>
        </w:rPr>
        <w:t xml:space="preserve"> abuses by corporations. At best, TPF can act as a form of insurance </w:t>
      </w:r>
      <w:r w:rsidR="009C79D3" w:rsidRPr="003A37FF">
        <w:rPr>
          <w:color w:val="000000" w:themeColor="text1"/>
        </w:rPr>
        <w:fldChar w:fldCharType="begin"/>
      </w:r>
      <w:r w:rsidR="00E80061" w:rsidRPr="003A37FF">
        <w:rPr>
          <w:color w:val="000000" w:themeColor="text1"/>
        </w:rPr>
        <w:instrText xml:space="preserve"> ADDIN ZOTERO_ITEM CSL_CITATION {"citationID":"pt1aYXQT","properties":{"formattedCitation":"(Guven and Johnson 2019, 8\\uc0\\u8211{}11)","plainCitation":"(Guven and Johnson 2019, 8–11)","noteIndex":0},"citationItems":[{"id":5165,"uris":["http://zotero.org/users/local/oXQBh7r1/items/U29Z2MA9"],"uri":["http://zotero.org/users/local/oXQBh7r1/items/U29Z2MA9"],"itemData":{"id":5165,"type":"report","collection-title":"CCSI Working Paper 2019","title":"The Policy Implications of Third-Party Funding in Investor-State Dispute Settlement","author":[{"family":"Guven","given":"Brooke"},{"family":"Johnson","given":"Lise"}],"issued":{"date-parts":[["2019",5]]}},"locator":"8-11"}],"schema":"https://github.com/citation-style-language/schema/raw/master/csl-citation.json"} </w:instrText>
      </w:r>
      <w:r w:rsidR="009C79D3" w:rsidRPr="003A37FF">
        <w:rPr>
          <w:color w:val="000000" w:themeColor="text1"/>
        </w:rPr>
        <w:fldChar w:fldCharType="separate"/>
      </w:r>
      <w:r w:rsidR="00E80061" w:rsidRPr="003A37FF">
        <w:rPr>
          <w:color w:val="000000"/>
        </w:rPr>
        <w:t>(Guven and Johnson 2019, 8–11)</w:t>
      </w:r>
      <w:r w:rsidR="009C79D3" w:rsidRPr="003A37FF">
        <w:rPr>
          <w:color w:val="000000" w:themeColor="text1"/>
        </w:rPr>
        <w:fldChar w:fldCharType="end"/>
      </w:r>
      <w:r w:rsidRPr="003A37FF">
        <w:rPr>
          <w:color w:val="000000" w:themeColor="text1"/>
        </w:rPr>
        <w:t xml:space="preserve">. </w:t>
      </w:r>
      <w:r w:rsidR="009C79D3" w:rsidRPr="003A37FF">
        <w:rPr>
          <w:color w:val="000000" w:themeColor="text1"/>
        </w:rPr>
        <w:t xml:space="preserve">Moreover, there are several academic and intergovernmental bodies working to detail policies that would create clarity around the rules of TPF, with UNCITRAL and ICSID actively considering new measures. </w:t>
      </w:r>
      <w:r w:rsidR="009C79D3" w:rsidRPr="003A37FF">
        <w:rPr>
          <w:color w:val="000000" w:themeColor="text1"/>
        </w:rPr>
        <w:lastRenderedPageBreak/>
        <w:t>The fact that some states have been willing to simply exit</w:t>
      </w:r>
      <w:r w:rsidR="002D257E" w:rsidRPr="003A37FF">
        <w:rPr>
          <w:color w:val="000000" w:themeColor="text1"/>
        </w:rPr>
        <w:t xml:space="preserve"> agreements</w:t>
      </w:r>
      <w:r w:rsidR="009C79D3" w:rsidRPr="003A37FF">
        <w:rPr>
          <w:color w:val="000000" w:themeColor="text1"/>
        </w:rPr>
        <w:t xml:space="preserve"> has increase</w:t>
      </w:r>
      <w:r w:rsidR="00EE3658" w:rsidRPr="003A37FF">
        <w:rPr>
          <w:color w:val="000000" w:themeColor="text1"/>
        </w:rPr>
        <w:t>d the</w:t>
      </w:r>
      <w:r w:rsidR="009C79D3" w:rsidRPr="003A37FF">
        <w:rPr>
          <w:color w:val="000000" w:themeColor="text1"/>
        </w:rPr>
        <w:t xml:space="preserve"> </w:t>
      </w:r>
      <w:r w:rsidR="002D257E" w:rsidRPr="003A37FF">
        <w:rPr>
          <w:color w:val="000000" w:themeColor="text1"/>
        </w:rPr>
        <w:t>salience for these</w:t>
      </w:r>
      <w:r w:rsidR="009C79D3" w:rsidRPr="003A37FF">
        <w:rPr>
          <w:color w:val="000000" w:themeColor="text1"/>
        </w:rPr>
        <w:t xml:space="preserve"> new proposals. A critical next step is to understand how the losers from </w:t>
      </w:r>
      <w:r w:rsidR="00FE7BF6" w:rsidRPr="003A37FF">
        <w:rPr>
          <w:color w:val="000000" w:themeColor="text1"/>
        </w:rPr>
        <w:t xml:space="preserve">field </w:t>
      </w:r>
      <w:r w:rsidR="009C79D3" w:rsidRPr="003A37FF">
        <w:rPr>
          <w:color w:val="000000" w:themeColor="text1"/>
        </w:rPr>
        <w:t xml:space="preserve">interaction choose to respond, and </w:t>
      </w:r>
      <w:r w:rsidR="008764CA" w:rsidRPr="003A37FF">
        <w:rPr>
          <w:color w:val="000000" w:themeColor="text1"/>
        </w:rPr>
        <w:t>whether</w:t>
      </w:r>
      <w:r w:rsidR="002D257E" w:rsidRPr="003A37FF">
        <w:rPr>
          <w:color w:val="000000" w:themeColor="text1"/>
        </w:rPr>
        <w:t xml:space="preserve"> they can</w:t>
      </w:r>
      <w:r w:rsidR="008764CA" w:rsidRPr="003A37FF">
        <w:rPr>
          <w:color w:val="000000" w:themeColor="text1"/>
        </w:rPr>
        <w:t xml:space="preserve"> diminish the legitimacy and effectiveness of the foreign actors.</w:t>
      </w:r>
    </w:p>
    <w:p w14:paraId="39E269F3" w14:textId="4056CE6C" w:rsidR="00EF5FE2" w:rsidRPr="003A37FF" w:rsidRDefault="00E03180" w:rsidP="00C82FEC">
      <w:pPr>
        <w:spacing w:line="480" w:lineRule="auto"/>
        <w:rPr>
          <w:color w:val="000000" w:themeColor="text1"/>
        </w:rPr>
      </w:pPr>
      <w:r w:rsidRPr="003A37FF">
        <w:rPr>
          <w:color w:val="000000" w:themeColor="text1"/>
        </w:rPr>
        <w:tab/>
        <w:t>Importantly, these changes are not simply restricted to the ISDS regime. TPF is increasingly used across a host of international legal terrain</w:t>
      </w:r>
      <w:r w:rsidR="00253CF5" w:rsidRPr="003A37FF">
        <w:rPr>
          <w:color w:val="000000" w:themeColor="text1"/>
        </w:rPr>
        <w:t xml:space="preserve"> and the financialization of ISDS is part of this broader process</w:t>
      </w:r>
      <w:r w:rsidRPr="003A37FF">
        <w:rPr>
          <w:color w:val="000000" w:themeColor="text1"/>
        </w:rPr>
        <w:t xml:space="preserve">. </w:t>
      </w:r>
      <w:r w:rsidR="001A16E1" w:rsidRPr="003A37FF">
        <w:rPr>
          <w:color w:val="000000" w:themeColor="text1"/>
        </w:rPr>
        <w:t>It is a regular feature</w:t>
      </w:r>
      <w:r w:rsidR="00ED76EB" w:rsidRPr="003A37FF">
        <w:rPr>
          <w:color w:val="000000" w:themeColor="text1"/>
        </w:rPr>
        <w:t xml:space="preserve"> of private commercial </w:t>
      </w:r>
      <w:r w:rsidR="00430F74" w:rsidRPr="003A37FF">
        <w:rPr>
          <w:color w:val="000000" w:themeColor="text1"/>
        </w:rPr>
        <w:t xml:space="preserve">litigation and </w:t>
      </w:r>
      <w:r w:rsidR="00ED76EB" w:rsidRPr="003A37FF">
        <w:rPr>
          <w:color w:val="000000" w:themeColor="text1"/>
        </w:rPr>
        <w:t>arbit</w:t>
      </w:r>
      <w:r w:rsidR="001A16E1" w:rsidRPr="003A37FF">
        <w:rPr>
          <w:color w:val="000000" w:themeColor="text1"/>
        </w:rPr>
        <w:t>ration, where the rules for TPF</w:t>
      </w:r>
      <w:r w:rsidR="00ED76EB" w:rsidRPr="003A37FF">
        <w:rPr>
          <w:color w:val="000000" w:themeColor="text1"/>
        </w:rPr>
        <w:t xml:space="preserve"> </w:t>
      </w:r>
      <w:r w:rsidR="001A16E1" w:rsidRPr="003A37FF">
        <w:rPr>
          <w:color w:val="000000" w:themeColor="text1"/>
        </w:rPr>
        <w:t xml:space="preserve">have also recently liberalized as </w:t>
      </w:r>
      <w:r w:rsidR="00DC5B79" w:rsidRPr="003A37FF">
        <w:rPr>
          <w:color w:val="000000" w:themeColor="text1"/>
        </w:rPr>
        <w:t>countries</w:t>
      </w:r>
      <w:r w:rsidR="001A16E1" w:rsidRPr="003A37FF">
        <w:rPr>
          <w:color w:val="000000" w:themeColor="text1"/>
        </w:rPr>
        <w:t xml:space="preserve"> compete to bring more cases into their jurisdictions</w:t>
      </w:r>
      <w:r w:rsidR="00ED76EB" w:rsidRPr="003A37FF">
        <w:rPr>
          <w:color w:val="000000" w:themeColor="text1"/>
        </w:rPr>
        <w:t>.</w:t>
      </w:r>
      <w:r w:rsidRPr="003A37FF">
        <w:rPr>
          <w:color w:val="000000" w:themeColor="text1"/>
        </w:rPr>
        <w:t xml:space="preserve"> </w:t>
      </w:r>
      <w:r w:rsidR="005B744D" w:rsidRPr="003A37FF">
        <w:rPr>
          <w:color w:val="000000" w:themeColor="text1"/>
        </w:rPr>
        <w:t xml:space="preserve">They have been key actors funding civil suits </w:t>
      </w:r>
      <w:r w:rsidR="00544783" w:rsidRPr="003A37FF">
        <w:rPr>
          <w:color w:val="000000" w:themeColor="text1"/>
        </w:rPr>
        <w:t>seeking compensation for the negative consequences of resource extraction and even part of divorce proceedings involving Russian oligarchs</w:t>
      </w:r>
      <w:r w:rsidR="00ED76EB" w:rsidRPr="003A37FF">
        <w:rPr>
          <w:color w:val="000000" w:themeColor="text1"/>
        </w:rPr>
        <w:t xml:space="preserve"> </w:t>
      </w:r>
      <w:r w:rsidR="00ED76EB" w:rsidRPr="003A37FF">
        <w:rPr>
          <w:color w:val="000000" w:themeColor="text1"/>
        </w:rPr>
        <w:fldChar w:fldCharType="begin"/>
      </w:r>
      <w:r w:rsidR="00E80061" w:rsidRPr="003A37FF">
        <w:rPr>
          <w:color w:val="000000" w:themeColor="text1"/>
        </w:rPr>
        <w:instrText xml:space="preserve"> ADDIN ZOTERO_ITEM CSL_CITATION {"citationID":"NtMQvlPM","properties":{"formattedCitation":"(Segal 2018)","plainCitation":"(Segal 2018)","noteIndex":0},"citationItems":[{"id":4244,"uris":["http://zotero.org/users/local/oXQBh7r1/items/FPPRPN85"],"uri":["http://zotero.org/users/local/oXQBh7r1/items/FPPRPN85"],"itemData":{"id":4244,"type":"article-newspaper","abstract":"Stranded in Dubai, the 377-foot Luna is fought over by a Russian oligarch who refuses to hand over a penny to his ex-wife.","container-title":"The New York Times","ISSN":"0362-4331","language":"en-US","section":"Business Day","source":"NYTimes.com","title":"A Russian Oligarch’s $500 Million Yacht Is in the Middle of Britain’s Costliest Divorce","URL":"https://www.nytimes.com/2018/06/06/business/britain-divorce-farkhad-akhmedov.html","author":[{"family":"Segal","given":"David"}],"accessed":{"date-parts":[["2018",8,9]]},"issued":{"date-parts":[["2018",6,14]]}}}],"schema":"https://github.com/citation-style-language/schema/raw/master/csl-citation.json"} </w:instrText>
      </w:r>
      <w:r w:rsidR="00ED76EB" w:rsidRPr="003A37FF">
        <w:rPr>
          <w:color w:val="000000" w:themeColor="text1"/>
        </w:rPr>
        <w:fldChar w:fldCharType="separate"/>
      </w:r>
      <w:r w:rsidR="00ED76EB" w:rsidRPr="003A37FF">
        <w:rPr>
          <w:noProof/>
          <w:color w:val="000000" w:themeColor="text1"/>
        </w:rPr>
        <w:t>(Segal 2018)</w:t>
      </w:r>
      <w:r w:rsidR="00ED76EB" w:rsidRPr="003A37FF">
        <w:rPr>
          <w:color w:val="000000" w:themeColor="text1"/>
        </w:rPr>
        <w:fldChar w:fldCharType="end"/>
      </w:r>
      <w:r w:rsidR="00ED76EB" w:rsidRPr="003A37FF">
        <w:rPr>
          <w:color w:val="000000" w:themeColor="text1"/>
        </w:rPr>
        <w:t xml:space="preserve">. </w:t>
      </w:r>
      <w:r w:rsidR="00314281" w:rsidRPr="003A37FF">
        <w:rPr>
          <w:color w:val="000000" w:themeColor="text1"/>
        </w:rPr>
        <w:t>Future</w:t>
      </w:r>
      <w:r w:rsidRPr="003A37FF">
        <w:rPr>
          <w:color w:val="000000" w:themeColor="text1"/>
        </w:rPr>
        <w:t xml:space="preserve"> research should</w:t>
      </w:r>
      <w:r w:rsidR="00314281" w:rsidRPr="003A37FF">
        <w:rPr>
          <w:color w:val="000000" w:themeColor="text1"/>
        </w:rPr>
        <w:t xml:space="preserve"> then</w:t>
      </w:r>
      <w:r w:rsidRPr="003A37FF">
        <w:rPr>
          <w:color w:val="000000" w:themeColor="text1"/>
        </w:rPr>
        <w:t xml:space="preserve"> examine how TPF has differed across these </w:t>
      </w:r>
      <w:r w:rsidR="00B97792" w:rsidRPr="003A37FF">
        <w:rPr>
          <w:color w:val="000000" w:themeColor="text1"/>
        </w:rPr>
        <w:t>domains</w:t>
      </w:r>
      <w:r w:rsidRPr="003A37FF">
        <w:rPr>
          <w:color w:val="000000" w:themeColor="text1"/>
        </w:rPr>
        <w:t xml:space="preserve"> in terms of uptake and distributional consequences. </w:t>
      </w:r>
      <w:r w:rsidR="00130209" w:rsidRPr="003A37FF">
        <w:rPr>
          <w:color w:val="000000" w:themeColor="text1"/>
        </w:rPr>
        <w:t xml:space="preserve">The massive liquidity boost </w:t>
      </w:r>
      <w:r w:rsidR="002902CD" w:rsidRPr="003A37FF">
        <w:rPr>
          <w:color w:val="000000" w:themeColor="text1"/>
        </w:rPr>
        <w:t>provided by</w:t>
      </w:r>
      <w:r w:rsidR="00130209" w:rsidRPr="003A37FF">
        <w:rPr>
          <w:color w:val="000000" w:themeColor="text1"/>
        </w:rPr>
        <w:t xml:space="preserve"> TPF could help provide weak economic players new resources, but it could also exacerbate inequalities as the ISDS case suggests. </w:t>
      </w:r>
    </w:p>
    <w:p w14:paraId="27AB2546" w14:textId="6A0FCEA5" w:rsidR="00570845" w:rsidRPr="003A37FF" w:rsidRDefault="00E03180" w:rsidP="00FE7BF6">
      <w:pPr>
        <w:spacing w:line="480" w:lineRule="auto"/>
        <w:rPr>
          <w:color w:val="000000" w:themeColor="text1"/>
        </w:rPr>
      </w:pPr>
      <w:r w:rsidRPr="003A37FF">
        <w:rPr>
          <w:color w:val="000000" w:themeColor="text1"/>
        </w:rPr>
        <w:tab/>
        <w:t xml:space="preserve">Theoretically, the </w:t>
      </w:r>
      <w:r w:rsidR="00832F28" w:rsidRPr="003A37FF">
        <w:rPr>
          <w:color w:val="000000" w:themeColor="text1"/>
        </w:rPr>
        <w:t xml:space="preserve">article </w:t>
      </w:r>
      <w:r w:rsidRPr="003A37FF">
        <w:rPr>
          <w:color w:val="000000" w:themeColor="text1"/>
        </w:rPr>
        <w:t>pushes scholars to think about cross-</w:t>
      </w:r>
      <w:r w:rsidR="005B593E" w:rsidRPr="003A37FF">
        <w:rPr>
          <w:color w:val="000000" w:themeColor="text1"/>
        </w:rPr>
        <w:t>field</w:t>
      </w:r>
      <w:r w:rsidRPr="003A37FF">
        <w:rPr>
          <w:color w:val="000000" w:themeColor="text1"/>
        </w:rPr>
        <w:t xml:space="preserve"> interactions</w:t>
      </w:r>
      <w:r w:rsidR="00FE7BF6" w:rsidRPr="003A37FF">
        <w:rPr>
          <w:color w:val="000000" w:themeColor="text1"/>
        </w:rPr>
        <w:t xml:space="preserve"> as a </w:t>
      </w:r>
      <w:r w:rsidR="00527B20" w:rsidRPr="003A37FF">
        <w:rPr>
          <w:color w:val="000000" w:themeColor="text1"/>
        </w:rPr>
        <w:t xml:space="preserve">vector </w:t>
      </w:r>
      <w:r w:rsidR="00FE7BF6" w:rsidRPr="003A37FF">
        <w:rPr>
          <w:color w:val="000000" w:themeColor="text1"/>
        </w:rPr>
        <w:t>of regime change</w:t>
      </w:r>
      <w:r w:rsidRPr="003A37FF">
        <w:rPr>
          <w:color w:val="000000" w:themeColor="text1"/>
        </w:rPr>
        <w:t xml:space="preserve">. </w:t>
      </w:r>
      <w:r w:rsidR="00FD5BA5" w:rsidRPr="003A37FF">
        <w:rPr>
          <w:color w:val="000000" w:themeColor="text1"/>
        </w:rPr>
        <w:t xml:space="preserve">A growing body of </w:t>
      </w:r>
      <w:r w:rsidR="00FD2588" w:rsidRPr="003A37FF">
        <w:rPr>
          <w:color w:val="000000" w:themeColor="text1"/>
        </w:rPr>
        <w:t>scholarship</w:t>
      </w:r>
      <w:r w:rsidR="00FD5BA5" w:rsidRPr="003A37FF">
        <w:rPr>
          <w:color w:val="000000" w:themeColor="text1"/>
        </w:rPr>
        <w:t xml:space="preserve"> in political economy emphasize</w:t>
      </w:r>
      <w:r w:rsidR="00FD2588" w:rsidRPr="003A37FF">
        <w:rPr>
          <w:color w:val="000000" w:themeColor="text1"/>
        </w:rPr>
        <w:t>s</w:t>
      </w:r>
      <w:r w:rsidR="00FD5BA5" w:rsidRPr="003A37FF">
        <w:rPr>
          <w:color w:val="000000" w:themeColor="text1"/>
        </w:rPr>
        <w:t xml:space="preserve"> the internal politics of professions</w:t>
      </w:r>
      <w:r w:rsidR="00286E90" w:rsidRPr="003A37FF">
        <w:rPr>
          <w:color w:val="000000" w:themeColor="text1"/>
        </w:rPr>
        <w:t xml:space="preserve"> </w:t>
      </w:r>
      <w:r w:rsidR="00FE0DE6" w:rsidRPr="003A37FF">
        <w:rPr>
          <w:color w:val="000000" w:themeColor="text1"/>
        </w:rPr>
        <w:fldChar w:fldCharType="begin"/>
      </w:r>
      <w:r w:rsidR="007F40D9">
        <w:rPr>
          <w:color w:val="000000" w:themeColor="text1"/>
        </w:rPr>
        <w:instrText xml:space="preserve"> ADDIN ZOTERO_ITEM CSL_CITATION {"citationID":"a4nnftj5au","properties":{"formattedCitation":"(McNamara 1998; Seabrooke and Henriksen 2017; Ban and Patenaude 2019)","plainCitation":"(McNamara 1998; Seabrooke and Henriksen 2017; Ban and Patenaude 2019)","noteIndex":0},"citationItems":[{"id":740,"uris":["http://zotero.org/users/local/oXQBh7r1/items/52FTN3EN"],"uri":["http://zotero.org/users/local/oXQBh7r1/items/52FTN3EN"],"itemData":{"id":740,"type":"book","publisher":"Cambridge Univ Press","source":"Google Scholar","title":"The currency of ideas: monetary politics in the European Union","title-short":"The currency of ideas","URL":"http://journals.cambridge.org/production/action/cjoGetFulltext?fulltextid=6258388","author":[{"family":"McNamara","given":"Kathleen R."}],"accessed":{"date-parts":[["2016",3,16]]},"issued":{"date-parts":[["1998"]]}}},{"id":5243,"uris":["http://zotero.org/users/local/oXQBh7r1/items/4H6MTXS9"],"uri":["http://zotero.org/users/local/oXQBh7r1/items/4H6MTXS9"],"itemData":{"id":5243,"type":"book","publisher":"Cambridge University Press","source":"Google Scholar","title":"Professional networks in transnational governance","author":[{"family":"Seabrooke","given":"Leonard"},{"family":"Henriksen","given":"Lasse Folke"}],"issued":{"date-parts":[["2017"]]}}},{"id":5708,"uris":["http://zotero.org/users/local/oXQBh7r1/items/3EWLNMS3"],"uri":["http://zotero.org/users/local/oXQBh7r1/items/3EWLNMS3"],"itemData":{"id":5708,"type":"article-journal","container-title":"Public Administration","DOI":"10.1111/padm.12561","ISSN":"0033-3298, 1467-9299","issue":"3","journalAbbreviation":"Public Admin","language":"en","page":"530-545","source":"DOI.org (Crossref)","title":"The professional politics of the austerity debate: A comparative field analysis of the European Central Bank and the International Monetary Fund","title-short":"The professional politics of the austerity debate","volume":"97","author":[{"family":"Ban","given":"Cornel"},{"family":"Patenaude","given":"Bryan"}],"issued":{"date-parts":[["2019",9]]}}}],"schema":"https://github.com/citation-style-language/schema/raw/master/csl-citation.json"} </w:instrText>
      </w:r>
      <w:r w:rsidR="00FE0DE6" w:rsidRPr="003A37FF">
        <w:rPr>
          <w:color w:val="000000" w:themeColor="text1"/>
        </w:rPr>
        <w:fldChar w:fldCharType="separate"/>
      </w:r>
      <w:r w:rsidR="007F40D9" w:rsidRPr="007F40D9">
        <w:rPr>
          <w:color w:val="000000"/>
        </w:rPr>
        <w:t>(McNamara 1998; Seabrooke and Henriksen 2017; Ban and Patenaude 2019)</w:t>
      </w:r>
      <w:r w:rsidR="00FE0DE6" w:rsidRPr="003A37FF">
        <w:rPr>
          <w:color w:val="000000" w:themeColor="text1"/>
        </w:rPr>
        <w:fldChar w:fldCharType="end"/>
      </w:r>
      <w:r w:rsidR="00FE0DE6" w:rsidRPr="003A37FF">
        <w:rPr>
          <w:color w:val="000000" w:themeColor="text1"/>
        </w:rPr>
        <w:t>.</w:t>
      </w:r>
      <w:r w:rsidR="00FE7BF6" w:rsidRPr="003A37FF">
        <w:rPr>
          <w:color w:val="000000" w:themeColor="text1"/>
        </w:rPr>
        <w:t xml:space="preserve"> </w:t>
      </w:r>
      <w:r w:rsidR="008F74BC" w:rsidRPr="003A37FF">
        <w:rPr>
          <w:color w:val="000000" w:themeColor="text1"/>
        </w:rPr>
        <w:t>Helgad</w:t>
      </w:r>
      <w:r w:rsidR="009145DE" w:rsidRPr="003A37FF">
        <w:rPr>
          <w:u w:val="dash"/>
        </w:rPr>
        <w:t>ó</w:t>
      </w:r>
      <w:r w:rsidR="008F74BC" w:rsidRPr="003A37FF">
        <w:rPr>
          <w:color w:val="000000" w:themeColor="text1"/>
        </w:rPr>
        <w:t>ttir</w:t>
      </w:r>
      <w:r w:rsidR="008F2DC7" w:rsidRPr="003A37FF">
        <w:rPr>
          <w:color w:val="000000" w:themeColor="text1"/>
        </w:rPr>
        <w:t xml:space="preserve"> </w:t>
      </w:r>
      <w:r w:rsidR="008F2DC7" w:rsidRPr="003A37FF">
        <w:rPr>
          <w:color w:val="000000" w:themeColor="text1"/>
        </w:rPr>
        <w:fldChar w:fldCharType="begin"/>
      </w:r>
      <w:r w:rsidR="00847121" w:rsidRPr="003A37FF">
        <w:rPr>
          <w:color w:val="000000" w:themeColor="text1"/>
        </w:rPr>
        <w:instrText xml:space="preserve"> ADDIN ZOTERO_ITEM CSL_CITATION {"citationID":"a1gr3vo8qrl","properties":{"formattedCitation":"(2016)","plainCitation":"(2016)","noteIndex":0},"citationItems":[{"id":6734,"uris":["http://zotero.org/users/local/oXQBh7r1/items/W2Y5FMVY"],"uri":["http://zotero.org/users/local/oXQBh7r1/items/W2Y5FMVY"],"itemData":{"id":6734,"type":"article-journal","abstract":"What is shadow banking and what is political about it? To address these questions, the paper ﬁrst unpacks the mechanics of shadow banking and compares them to traditional banking. Based on this stylized explanation, it problematizes the use of the term ‘banking’. Indeed, shadow banks turn longterm liabilities into short-term ﬁnancial instruments, effectively turning traditional banking on its head. Next, it draws on three political science frameworks to bring to the fore and develop the political content of mainstream economic expertise on shadow banks. First, it shows that shadow banks played a signiﬁcant role in the rent-seeking behavior of the ﬁnancial sector by extracting regulatory rents and subsidies. Second, in spite of this, the extension of public backstops to shadow banks has largely been treated as logical institutional adaptation to a changing ﬁnancial landscape. Third, shadow banking emerged alongside and contributed to growing economic inequality. It did so by acting as a credit bridge between giant pools of money seeking returns and a growing number of borrowers, raising further questions about its economic and social utility. These ﬁndings contribute to the emerging political economy literature on shadow banking, expert ideas and the relationship between ﬁnance and larger societal developments.","container-title":"Review of International Political Economy","DOI":"10.1080/09692290.2016.1224196","ISSN":"0969-2290, 1466-4526","issue":"6","journalAbbreviation":"Review of International Political Economy","language":"en","page":"915-940","source":"DOI.org (Crossref)","title":"Banking upside down: the implicit politics of shadow banking expertise","title-short":"Banking upside down","volume":"23","author":[{"family":"Helgadóttir","given":"Oddný"}],"issued":{"date-parts":[["2016",11,1]]}},"suppress-author":true}],"schema":"https://github.com/citation-style-language/schema/raw/master/csl-citation.json"} </w:instrText>
      </w:r>
      <w:r w:rsidR="008F2DC7" w:rsidRPr="003A37FF">
        <w:rPr>
          <w:color w:val="000000" w:themeColor="text1"/>
        </w:rPr>
        <w:fldChar w:fldCharType="separate"/>
      </w:r>
      <w:r w:rsidR="00847121" w:rsidRPr="003A37FF">
        <w:rPr>
          <w:color w:val="000000"/>
        </w:rPr>
        <w:t>(2016)</w:t>
      </w:r>
      <w:r w:rsidR="008F2DC7" w:rsidRPr="003A37FF">
        <w:rPr>
          <w:color w:val="000000" w:themeColor="text1"/>
        </w:rPr>
        <w:fldChar w:fldCharType="end"/>
      </w:r>
      <w:r w:rsidR="00B97792" w:rsidRPr="003A37FF">
        <w:rPr>
          <w:color w:val="000000" w:themeColor="text1"/>
        </w:rPr>
        <w:t xml:space="preserve">, </w:t>
      </w:r>
      <w:r w:rsidR="00CA27BA" w:rsidRPr="003A37FF">
        <w:rPr>
          <w:color w:val="000000" w:themeColor="text1"/>
        </w:rPr>
        <w:t>for example</w:t>
      </w:r>
      <w:r w:rsidR="00B97792" w:rsidRPr="003A37FF">
        <w:rPr>
          <w:color w:val="000000" w:themeColor="text1"/>
        </w:rPr>
        <w:t>, underscores the role that</w:t>
      </w:r>
      <w:r w:rsidR="008F74BC" w:rsidRPr="003A37FF">
        <w:rPr>
          <w:color w:val="000000" w:themeColor="text1"/>
        </w:rPr>
        <w:t xml:space="preserve"> (academic) economists have </w:t>
      </w:r>
      <w:r w:rsidR="00275ABB" w:rsidRPr="003A37FF">
        <w:rPr>
          <w:color w:val="000000" w:themeColor="text1"/>
        </w:rPr>
        <w:t xml:space="preserve">played in </w:t>
      </w:r>
      <w:r w:rsidR="00125025" w:rsidRPr="003A37FF">
        <w:rPr>
          <w:color w:val="000000" w:themeColor="text1"/>
        </w:rPr>
        <w:t xml:space="preserve">shoring up the </w:t>
      </w:r>
      <w:r w:rsidR="00275ABB" w:rsidRPr="003A37FF">
        <w:rPr>
          <w:color w:val="000000" w:themeColor="text1"/>
        </w:rPr>
        <w:t xml:space="preserve">shadow banking </w:t>
      </w:r>
      <w:r w:rsidR="004D0D44" w:rsidRPr="003A37FF">
        <w:rPr>
          <w:color w:val="000000" w:themeColor="text1"/>
        </w:rPr>
        <w:t>sector</w:t>
      </w:r>
      <w:r w:rsidR="00CA27BA" w:rsidRPr="003A37FF">
        <w:rPr>
          <w:color w:val="000000" w:themeColor="text1"/>
        </w:rPr>
        <w:t xml:space="preserve"> after the financial crisis</w:t>
      </w:r>
      <w:r w:rsidR="00275ABB" w:rsidRPr="003A37FF">
        <w:rPr>
          <w:color w:val="000000" w:themeColor="text1"/>
        </w:rPr>
        <w:t>, facilitat</w:t>
      </w:r>
      <w:r w:rsidR="00CA27BA" w:rsidRPr="003A37FF">
        <w:rPr>
          <w:color w:val="000000" w:themeColor="text1"/>
        </w:rPr>
        <w:t>ing</w:t>
      </w:r>
      <w:r w:rsidR="00275ABB" w:rsidRPr="003A37FF">
        <w:rPr>
          <w:color w:val="000000" w:themeColor="text1"/>
        </w:rPr>
        <w:t xml:space="preserve"> the growth of financialization through informal financial channels</w:t>
      </w:r>
      <w:r w:rsidR="00CA27BA" w:rsidRPr="003A37FF">
        <w:rPr>
          <w:color w:val="000000" w:themeColor="text1"/>
        </w:rPr>
        <w:t xml:space="preserve"> and redistributing risk to public actors like central banks</w:t>
      </w:r>
      <w:r w:rsidR="00275ABB" w:rsidRPr="003A37FF">
        <w:rPr>
          <w:color w:val="000000" w:themeColor="text1"/>
        </w:rPr>
        <w:t xml:space="preserve">. </w:t>
      </w:r>
      <w:r w:rsidR="00B97792" w:rsidRPr="003A37FF">
        <w:rPr>
          <w:color w:val="000000" w:themeColor="text1"/>
        </w:rPr>
        <w:t xml:space="preserve">Our analysis indicates a need to factor in how professions across fields can create coalitions that alter regime practices and, with it, governance dynamics. </w:t>
      </w:r>
      <w:r w:rsidR="00CA27BA" w:rsidRPr="003A37FF">
        <w:rPr>
          <w:color w:val="000000" w:themeColor="text1"/>
        </w:rPr>
        <w:t>Empirically</w:t>
      </w:r>
      <w:r w:rsidR="00275ABB" w:rsidRPr="003A37FF">
        <w:rPr>
          <w:color w:val="000000" w:themeColor="text1"/>
        </w:rPr>
        <w:t xml:space="preserve">, </w:t>
      </w:r>
      <w:r w:rsidR="00CA27BA" w:rsidRPr="003A37FF">
        <w:rPr>
          <w:color w:val="000000" w:themeColor="text1"/>
        </w:rPr>
        <w:t>our</w:t>
      </w:r>
      <w:r w:rsidR="00275ABB" w:rsidRPr="003A37FF">
        <w:rPr>
          <w:color w:val="000000" w:themeColor="text1"/>
        </w:rPr>
        <w:t xml:space="preserve"> cross-field coalition</w:t>
      </w:r>
      <w:r w:rsidR="00CA27BA" w:rsidRPr="003A37FF">
        <w:rPr>
          <w:color w:val="000000" w:themeColor="text1"/>
        </w:rPr>
        <w:t>, for example,</w:t>
      </w:r>
      <w:r w:rsidR="00275ABB" w:rsidRPr="003A37FF">
        <w:rPr>
          <w:color w:val="000000" w:themeColor="text1"/>
        </w:rPr>
        <w:t xml:space="preserve"> has transplanted financialization norms </w:t>
      </w:r>
      <w:r w:rsidR="00275ABB" w:rsidRPr="003A37FF">
        <w:rPr>
          <w:color w:val="000000" w:themeColor="text1"/>
        </w:rPr>
        <w:lastRenderedPageBreak/>
        <w:t xml:space="preserve">outside of traditional economic domains into international law. </w:t>
      </w:r>
      <w:r w:rsidR="00527B20" w:rsidRPr="003A37FF">
        <w:rPr>
          <w:color w:val="000000" w:themeColor="text1"/>
        </w:rPr>
        <w:t xml:space="preserve">While our theoretical </w:t>
      </w:r>
      <w:r w:rsidR="00570845" w:rsidRPr="003A37FF">
        <w:rPr>
          <w:color w:val="000000" w:themeColor="text1"/>
        </w:rPr>
        <w:t>ambitions are naturally limited by the single case study</w:t>
      </w:r>
      <w:r w:rsidR="00CB407E" w:rsidRPr="003A37FF">
        <w:rPr>
          <w:color w:val="000000" w:themeColor="text1"/>
        </w:rPr>
        <w:t xml:space="preserve">, work </w:t>
      </w:r>
      <w:r w:rsidR="00640A0F" w:rsidRPr="003A37FF">
        <w:rPr>
          <w:color w:val="000000" w:themeColor="text1"/>
        </w:rPr>
        <w:t xml:space="preserve">in other </w:t>
      </w:r>
      <w:r w:rsidR="00275ABB" w:rsidRPr="003A37FF">
        <w:rPr>
          <w:color w:val="000000" w:themeColor="text1"/>
        </w:rPr>
        <w:t>areas</w:t>
      </w:r>
      <w:r w:rsidR="00FE7BF6" w:rsidRPr="003A37FF">
        <w:rPr>
          <w:color w:val="000000" w:themeColor="text1"/>
        </w:rPr>
        <w:t xml:space="preserve"> </w:t>
      </w:r>
      <w:r w:rsidR="00CB407E" w:rsidRPr="003A37FF">
        <w:rPr>
          <w:color w:val="000000" w:themeColor="text1"/>
        </w:rPr>
        <w:t>suggest</w:t>
      </w:r>
      <w:r w:rsidR="00570845" w:rsidRPr="003A37FF">
        <w:rPr>
          <w:color w:val="000000" w:themeColor="text1"/>
        </w:rPr>
        <w:t xml:space="preserve"> the potential to generalize our findings</w:t>
      </w:r>
      <w:r w:rsidR="00CB407E" w:rsidRPr="003A37FF">
        <w:rPr>
          <w:color w:val="000000" w:themeColor="text1"/>
        </w:rPr>
        <w:t>. Sending (2015), for example, demonstrates how the regime</w:t>
      </w:r>
      <w:r w:rsidR="00640A0F" w:rsidRPr="003A37FF">
        <w:rPr>
          <w:color w:val="000000" w:themeColor="text1"/>
        </w:rPr>
        <w:t xml:space="preserve"> for global population governance</w:t>
      </w:r>
      <w:r w:rsidR="00CB407E" w:rsidRPr="003A37FF">
        <w:rPr>
          <w:color w:val="000000" w:themeColor="text1"/>
        </w:rPr>
        <w:t xml:space="preserve"> transformed from focusing on development to reproductive health as actors from the health field enter</w:t>
      </w:r>
      <w:r w:rsidR="00FE7BF6" w:rsidRPr="003A37FF">
        <w:rPr>
          <w:color w:val="000000" w:themeColor="text1"/>
        </w:rPr>
        <w:t>ed</w:t>
      </w:r>
      <w:r w:rsidR="00CB407E" w:rsidRPr="003A37FF">
        <w:rPr>
          <w:color w:val="000000" w:themeColor="text1"/>
        </w:rPr>
        <w:t xml:space="preserve"> </w:t>
      </w:r>
      <w:r w:rsidR="00640A0F" w:rsidRPr="003A37FF">
        <w:rPr>
          <w:color w:val="000000" w:themeColor="text1"/>
        </w:rPr>
        <w:t>an arena</w:t>
      </w:r>
      <w:r w:rsidR="00CB407E" w:rsidRPr="003A37FF">
        <w:rPr>
          <w:color w:val="000000" w:themeColor="text1"/>
        </w:rPr>
        <w:t xml:space="preserve"> long </w:t>
      </w:r>
      <w:r w:rsidR="00570845" w:rsidRPr="003A37FF">
        <w:rPr>
          <w:color w:val="000000" w:themeColor="text1"/>
        </w:rPr>
        <w:t>dominated</w:t>
      </w:r>
      <w:r w:rsidR="00CB407E" w:rsidRPr="003A37FF">
        <w:rPr>
          <w:color w:val="000000" w:themeColor="text1"/>
        </w:rPr>
        <w:t xml:space="preserve"> by </w:t>
      </w:r>
      <w:r w:rsidR="00570845" w:rsidRPr="003A37FF">
        <w:rPr>
          <w:color w:val="000000" w:themeColor="text1"/>
        </w:rPr>
        <w:t>economists</w:t>
      </w:r>
      <w:r w:rsidR="00CB407E" w:rsidRPr="003A37FF">
        <w:rPr>
          <w:color w:val="000000" w:themeColor="text1"/>
        </w:rPr>
        <w:t xml:space="preserve">. </w:t>
      </w:r>
    </w:p>
    <w:p w14:paraId="7E9A4942" w14:textId="0144D5F8" w:rsidR="00DE0457" w:rsidRPr="003A37FF" w:rsidRDefault="005F041D" w:rsidP="00812EDF">
      <w:pPr>
        <w:spacing w:line="480" w:lineRule="auto"/>
        <w:ind w:firstLine="720"/>
        <w:rPr>
          <w:color w:val="000000" w:themeColor="text1"/>
        </w:rPr>
      </w:pPr>
      <w:r w:rsidRPr="003A37FF">
        <w:rPr>
          <w:color w:val="000000" w:themeColor="text1"/>
        </w:rPr>
        <w:t>Our framework</w:t>
      </w:r>
      <w:r w:rsidR="00CB407E" w:rsidRPr="003A37FF">
        <w:rPr>
          <w:color w:val="000000" w:themeColor="text1"/>
        </w:rPr>
        <w:t xml:space="preserve"> also</w:t>
      </w:r>
      <w:r w:rsidRPr="003A37FF">
        <w:rPr>
          <w:color w:val="000000" w:themeColor="text1"/>
        </w:rPr>
        <w:t xml:space="preserve"> </w:t>
      </w:r>
      <w:r w:rsidR="00570845" w:rsidRPr="003A37FF">
        <w:rPr>
          <w:color w:val="000000" w:themeColor="text1"/>
        </w:rPr>
        <w:t>builds important connections to</w:t>
      </w:r>
      <w:r w:rsidRPr="003A37FF">
        <w:rPr>
          <w:color w:val="000000" w:themeColor="text1"/>
        </w:rPr>
        <w:t xml:space="preserve"> legal realist scholarship on transnational legal orders (TLO). The TLO approach collapses the distinction between domestic and international law, drawing attention </w:t>
      </w:r>
      <w:r w:rsidR="00CB407E" w:rsidRPr="003A37FF">
        <w:rPr>
          <w:color w:val="000000" w:themeColor="text1"/>
        </w:rPr>
        <w:t xml:space="preserve">to </w:t>
      </w:r>
      <w:r w:rsidRPr="003A37FF">
        <w:rPr>
          <w:color w:val="000000" w:themeColor="text1"/>
        </w:rPr>
        <w:t>the myriad interactions between lawyers, bureaucrats, and institutions</w:t>
      </w:r>
      <w:r w:rsidR="00FE0DE6" w:rsidRPr="003A37FF">
        <w:rPr>
          <w:color w:val="000000" w:themeColor="text1"/>
        </w:rPr>
        <w:t xml:space="preserve"> </w:t>
      </w:r>
      <w:r w:rsidR="00FE0DE6" w:rsidRPr="003A37FF">
        <w:rPr>
          <w:color w:val="000000" w:themeColor="text1"/>
        </w:rPr>
        <w:fldChar w:fldCharType="begin"/>
      </w:r>
      <w:r w:rsidR="00821334">
        <w:rPr>
          <w:color w:val="000000" w:themeColor="text1"/>
        </w:rPr>
        <w:instrText xml:space="preserve"> ADDIN ZOTERO_ITEM CSL_CITATION {"citationID":"a2is0lggj3r","properties":{"formattedCitation":"(Whytock 2009; Halliday and Shaffer 2015; Kahraman, Kalyanpur, and Newman 2020)","plainCitation":"(Whytock 2009; Halliday and Shaffer 2015; Kahraman, Kalyanpur, and Newman 2020)","noteIndex":0},"citationItems":[{"id":1634,"uris":["http://zotero.org/users/local/oXQBh7r1/items/83MRPCQB"],"uri":["http://zotero.org/users/local/oXQBh7r1/items/83MRPCQB"],"itemData":{"id":1634,"type":"article-journal","container-title":"Tul. L. Rev.","page":"67","source":"Google Scholar","title":"Domestic Courts and Global Governance","volume":"84","author":[{"family":"Whytock","given":"Christopher A."}],"issued":{"date-parts":[["2009"]]}}},{"id":4992,"uris":["http://zotero.org/users/local/oXQBh7r1/items/EK44W4KR"],"uri":["http://zotero.org/users/local/oXQBh7r1/items/EK44W4KR"],"itemData":{"id":4992,"type":"book","publisher":"Cambridge University Press","source":"Google Scholar","title":"Transnational legal orders","author":[{"family":"Halliday","given":"Terence C."},{"family":"Shaffer","given":"Gregory"}],"issued":{"date-parts":[["2015"]]}}},{"id":6803,"uris":["http://zotero.org/users/local/oXQBh7r1/items/NTCNEFSG"],"uri":["http://zotero.org/users/local/oXQBh7r1/items/NTCNEFSG"],"itemData":{"id":6803,"type":"article-journal","container-title":"European Journal of International Relations","title":"Domestic Courts, Transnational Law, and International Order","author":[{"family":"Kahraman","given":"Filiz"},{"family":"Kalyanpur","given":"Nikhil"},{"family":"Newman","given":"Abraham L."}],"issued":{"date-parts":[["2020"]]}}}],"schema":"https://github.com/citation-style-language/schema/raw/master/csl-citation.json"} </w:instrText>
      </w:r>
      <w:r w:rsidR="00FE0DE6" w:rsidRPr="003A37FF">
        <w:rPr>
          <w:color w:val="000000" w:themeColor="text1"/>
        </w:rPr>
        <w:fldChar w:fldCharType="separate"/>
      </w:r>
      <w:r w:rsidR="00821334" w:rsidRPr="00821334">
        <w:rPr>
          <w:color w:val="000000"/>
        </w:rPr>
        <w:t>(Whytock 2009; Halliday and Shaffer 2015; Kahraman, Kalyanpur, and Newman 2020)</w:t>
      </w:r>
      <w:r w:rsidR="00FE0DE6" w:rsidRPr="003A37FF">
        <w:rPr>
          <w:color w:val="000000" w:themeColor="text1"/>
        </w:rPr>
        <w:fldChar w:fldCharType="end"/>
      </w:r>
      <w:r w:rsidR="00FE0DE6" w:rsidRPr="003A37FF">
        <w:rPr>
          <w:color w:val="000000" w:themeColor="text1"/>
        </w:rPr>
        <w:t xml:space="preserve">. </w:t>
      </w:r>
      <w:r w:rsidRPr="003A37FF">
        <w:rPr>
          <w:color w:val="000000" w:themeColor="text1"/>
        </w:rPr>
        <w:t xml:space="preserve">We hope the </w:t>
      </w:r>
      <w:r w:rsidR="00734122" w:rsidRPr="003A37FF">
        <w:rPr>
          <w:color w:val="000000" w:themeColor="text1"/>
        </w:rPr>
        <w:t>article</w:t>
      </w:r>
      <w:r w:rsidRPr="003A37FF">
        <w:rPr>
          <w:color w:val="000000" w:themeColor="text1"/>
        </w:rPr>
        <w:t xml:space="preserve"> will push scholars who analyze transnational law </w:t>
      </w:r>
      <w:r w:rsidR="00570845" w:rsidRPr="003A37FF">
        <w:rPr>
          <w:color w:val="000000" w:themeColor="text1"/>
        </w:rPr>
        <w:t xml:space="preserve">in political science and </w:t>
      </w:r>
      <w:r w:rsidR="00FE0DE6" w:rsidRPr="003A37FF">
        <w:rPr>
          <w:color w:val="000000" w:themeColor="text1"/>
        </w:rPr>
        <w:t>legal academia</w:t>
      </w:r>
      <w:r w:rsidR="00570845" w:rsidRPr="003A37FF">
        <w:rPr>
          <w:color w:val="000000" w:themeColor="text1"/>
        </w:rPr>
        <w:t xml:space="preserve"> </w:t>
      </w:r>
      <w:r w:rsidRPr="003A37FF">
        <w:rPr>
          <w:color w:val="000000" w:themeColor="text1"/>
        </w:rPr>
        <w:t xml:space="preserve">to continue working on identifying the coalitions that develop, and the new economic opportunities that emerge, as the individuals that occupy one TLO interact with those in neighboring fields. </w:t>
      </w:r>
      <w:r w:rsidR="000C4219" w:rsidRPr="003A37FF">
        <w:rPr>
          <w:color w:val="000000" w:themeColor="text1"/>
        </w:rPr>
        <w:t xml:space="preserve">For example, transnational litigation is an increasingly popular strategy </w:t>
      </w:r>
      <w:r w:rsidR="00CB407E" w:rsidRPr="003A37FF">
        <w:rPr>
          <w:color w:val="000000" w:themeColor="text1"/>
        </w:rPr>
        <w:t xml:space="preserve">for </w:t>
      </w:r>
      <w:r w:rsidR="000C4219" w:rsidRPr="003A37FF">
        <w:rPr>
          <w:color w:val="000000" w:themeColor="text1"/>
        </w:rPr>
        <w:t xml:space="preserve">combatting climate change. We could understand </w:t>
      </w:r>
      <w:r w:rsidR="00275ABB" w:rsidRPr="003A37FF">
        <w:rPr>
          <w:color w:val="000000" w:themeColor="text1"/>
        </w:rPr>
        <w:t xml:space="preserve">better </w:t>
      </w:r>
      <w:r w:rsidR="000C4219" w:rsidRPr="003A37FF">
        <w:rPr>
          <w:color w:val="000000" w:themeColor="text1"/>
        </w:rPr>
        <w:t>its rise by paying attention to how</w:t>
      </w:r>
      <w:r w:rsidR="00DE0457" w:rsidRPr="003A37FF">
        <w:rPr>
          <w:color w:val="000000" w:themeColor="text1"/>
        </w:rPr>
        <w:t xml:space="preserve"> professionals in the conventional legal regime have partnered with activists </w:t>
      </w:r>
      <w:r w:rsidR="00CB407E" w:rsidRPr="003A37FF">
        <w:rPr>
          <w:color w:val="000000" w:themeColor="text1"/>
        </w:rPr>
        <w:t xml:space="preserve">and scientists </w:t>
      </w:r>
      <w:r w:rsidR="00DE0457" w:rsidRPr="003A37FF">
        <w:rPr>
          <w:color w:val="000000" w:themeColor="text1"/>
        </w:rPr>
        <w:t>in the environmental regime to develop a growing body of cases that provides lawyers more business</w:t>
      </w:r>
      <w:r w:rsidR="00D673E7" w:rsidRPr="003A37FF">
        <w:rPr>
          <w:color w:val="000000" w:themeColor="text1"/>
        </w:rPr>
        <w:t xml:space="preserve"> and </w:t>
      </w:r>
      <w:r w:rsidR="00DE0457" w:rsidRPr="003A37FF">
        <w:rPr>
          <w:color w:val="000000" w:themeColor="text1"/>
        </w:rPr>
        <w:t>increases the strategic toolkits of civil society actors</w:t>
      </w:r>
      <w:r w:rsidR="00D673E7" w:rsidRPr="003A37FF">
        <w:rPr>
          <w:color w:val="000000" w:themeColor="text1"/>
        </w:rPr>
        <w:t xml:space="preserve"> and corporat</w:t>
      </w:r>
      <w:r w:rsidR="00CB407E" w:rsidRPr="003A37FF">
        <w:rPr>
          <w:color w:val="000000" w:themeColor="text1"/>
        </w:rPr>
        <w:t>ions</w:t>
      </w:r>
      <w:r w:rsidR="00D673E7" w:rsidRPr="003A37FF">
        <w:rPr>
          <w:color w:val="000000" w:themeColor="text1"/>
        </w:rPr>
        <w:t xml:space="preserve"> alike. As governments are the most </w:t>
      </w:r>
      <w:r w:rsidR="00737434" w:rsidRPr="003A37FF">
        <w:rPr>
          <w:color w:val="000000" w:themeColor="text1"/>
        </w:rPr>
        <w:t>frequent</w:t>
      </w:r>
      <w:r w:rsidR="00D673E7" w:rsidRPr="003A37FF">
        <w:rPr>
          <w:color w:val="000000" w:themeColor="text1"/>
        </w:rPr>
        <w:t xml:space="preserve"> respondent in climate litigation, in li</w:t>
      </w:r>
      <w:r w:rsidR="00CA6579" w:rsidRPr="003A37FF">
        <w:rPr>
          <w:color w:val="000000" w:themeColor="text1"/>
        </w:rPr>
        <w:t>ne</w:t>
      </w:r>
      <w:r w:rsidR="00D673E7" w:rsidRPr="003A37FF">
        <w:rPr>
          <w:color w:val="000000" w:themeColor="text1"/>
        </w:rPr>
        <w:t xml:space="preserve"> with the effects of TPF in ISDS</w:t>
      </w:r>
      <w:r w:rsidR="00D4242E" w:rsidRPr="003A37FF">
        <w:rPr>
          <w:color w:val="000000" w:themeColor="text1"/>
        </w:rPr>
        <w:t xml:space="preserve"> </w:t>
      </w:r>
      <w:r w:rsidR="00D4242E" w:rsidRPr="003A37FF">
        <w:rPr>
          <w:color w:val="000000" w:themeColor="text1"/>
        </w:rPr>
        <w:fldChar w:fldCharType="begin"/>
      </w:r>
      <w:r w:rsidR="00EE4102" w:rsidRPr="003A37FF">
        <w:rPr>
          <w:color w:val="000000" w:themeColor="text1"/>
        </w:rPr>
        <w:instrText xml:space="preserve"> ADDIN ZOTERO_ITEM CSL_CITATION {"citationID":"a10jg1v183k","properties":{"formattedCitation":"(Nachmany et al. 2017)","plainCitation":"(Nachmany et al. 2017)","noteIndex":0},"citationItems":[{"id":5799,"uris":["http://zotero.org/users/local/oXQBh7r1/items/7HPBKKPW"],"uri":["http://zotero.org/users/local/oXQBh7r1/items/7HPBKKPW"],"itemData":{"id":5799,"type":"article-journal","note":"publisher: Grantham Research Institute on Climate Change and the Environment","source":"Google Scholar","title":"Global trends in climate change legislation and litigation: 2017 update","title-short":"Global trends in climate change legislation and litigation","author":[{"family":"Nachmany","given":"Michal"},{"family":"Fankhauser","given":"Sam"},{"family":"Setzer","given":"Joana"},{"family":"Averchenkova","given":"Alina"}],"issued":{"date-parts":[["2017"]]}}}],"schema":"https://github.com/citation-style-language/schema/raw/master/csl-citation.json"} </w:instrText>
      </w:r>
      <w:r w:rsidR="00D4242E" w:rsidRPr="003A37FF">
        <w:rPr>
          <w:color w:val="000000" w:themeColor="text1"/>
        </w:rPr>
        <w:fldChar w:fldCharType="separate"/>
      </w:r>
      <w:r w:rsidR="00EE4102" w:rsidRPr="003A37FF">
        <w:rPr>
          <w:color w:val="000000"/>
        </w:rPr>
        <w:t>(Nachmany et al. 2017)</w:t>
      </w:r>
      <w:r w:rsidR="00D4242E" w:rsidRPr="003A37FF">
        <w:rPr>
          <w:color w:val="000000" w:themeColor="text1"/>
        </w:rPr>
        <w:fldChar w:fldCharType="end"/>
      </w:r>
      <w:r w:rsidR="00D673E7" w:rsidRPr="003A37FF">
        <w:rPr>
          <w:color w:val="000000" w:themeColor="text1"/>
        </w:rPr>
        <w:t xml:space="preserve">, cross-field interactions </w:t>
      </w:r>
      <w:r w:rsidR="00CA6579" w:rsidRPr="003A37FF">
        <w:rPr>
          <w:color w:val="000000" w:themeColor="text1"/>
        </w:rPr>
        <w:t>may</w:t>
      </w:r>
      <w:r w:rsidR="00D673E7" w:rsidRPr="003A37FF">
        <w:rPr>
          <w:color w:val="000000" w:themeColor="text1"/>
        </w:rPr>
        <w:t xml:space="preserve"> </w:t>
      </w:r>
      <w:r w:rsidR="00FE0DE6" w:rsidRPr="003A37FF">
        <w:rPr>
          <w:color w:val="000000" w:themeColor="text1"/>
        </w:rPr>
        <w:t xml:space="preserve">be </w:t>
      </w:r>
      <w:r w:rsidR="00DE0457" w:rsidRPr="003A37FF">
        <w:rPr>
          <w:color w:val="000000" w:themeColor="text1"/>
        </w:rPr>
        <w:t xml:space="preserve">curtailing the </w:t>
      </w:r>
      <w:r w:rsidR="00D673E7" w:rsidRPr="003A37FF">
        <w:rPr>
          <w:color w:val="000000" w:themeColor="text1"/>
        </w:rPr>
        <w:t>autonomy</w:t>
      </w:r>
      <w:r w:rsidR="00DE0457" w:rsidRPr="003A37FF">
        <w:rPr>
          <w:color w:val="000000" w:themeColor="text1"/>
        </w:rPr>
        <w:t xml:space="preserve"> of the state. </w:t>
      </w:r>
    </w:p>
    <w:p w14:paraId="41AC9179" w14:textId="27EB6CBB" w:rsidR="004B40E8" w:rsidRPr="003A37FF" w:rsidRDefault="004B40E8" w:rsidP="00C82FEC">
      <w:pPr>
        <w:spacing w:line="480" w:lineRule="auto"/>
        <w:rPr>
          <w:color w:val="000000" w:themeColor="text1"/>
        </w:rPr>
      </w:pPr>
      <w:r w:rsidRPr="003A37FF">
        <w:rPr>
          <w:color w:val="000000" w:themeColor="text1"/>
        </w:rPr>
        <w:tab/>
        <w:t>Ultimately, the</w:t>
      </w:r>
      <w:r w:rsidR="00832F28" w:rsidRPr="003A37FF">
        <w:rPr>
          <w:color w:val="000000" w:themeColor="text1"/>
        </w:rPr>
        <w:t xml:space="preserve"> article </w:t>
      </w:r>
      <w:r w:rsidRPr="003A37FF">
        <w:rPr>
          <w:color w:val="000000" w:themeColor="text1"/>
        </w:rPr>
        <w:t>contributes to</w:t>
      </w:r>
      <w:r w:rsidR="00CB407E" w:rsidRPr="003A37FF">
        <w:rPr>
          <w:color w:val="000000" w:themeColor="text1"/>
        </w:rPr>
        <w:t xml:space="preserve"> research </w:t>
      </w:r>
      <w:r w:rsidRPr="003A37FF">
        <w:rPr>
          <w:color w:val="000000" w:themeColor="text1"/>
        </w:rPr>
        <w:t xml:space="preserve">demonstrating the </w:t>
      </w:r>
      <w:r w:rsidR="00AC3788" w:rsidRPr="003A37FF">
        <w:rPr>
          <w:color w:val="000000" w:themeColor="text1"/>
        </w:rPr>
        <w:t>far-reaching</w:t>
      </w:r>
      <w:r w:rsidRPr="003A37FF">
        <w:rPr>
          <w:color w:val="000000" w:themeColor="text1"/>
        </w:rPr>
        <w:t xml:space="preserve"> consequences of financialization. While </w:t>
      </w:r>
      <w:r w:rsidR="007D52FD" w:rsidRPr="003A37FF">
        <w:rPr>
          <w:color w:val="000000" w:themeColor="text1"/>
        </w:rPr>
        <w:t>I</w:t>
      </w:r>
      <w:r w:rsidRPr="003A37FF">
        <w:rPr>
          <w:color w:val="000000" w:themeColor="text1"/>
        </w:rPr>
        <w:t xml:space="preserve">nternational </w:t>
      </w:r>
      <w:r w:rsidR="007D52FD" w:rsidRPr="003A37FF">
        <w:rPr>
          <w:color w:val="000000" w:themeColor="text1"/>
        </w:rPr>
        <w:t>R</w:t>
      </w:r>
      <w:r w:rsidRPr="003A37FF">
        <w:rPr>
          <w:color w:val="000000" w:themeColor="text1"/>
        </w:rPr>
        <w:t>elations scholars have increasingly turned their attention to how this process has shaped global financial stability, our</w:t>
      </w:r>
      <w:r w:rsidR="00E82FA3">
        <w:rPr>
          <w:color w:val="000000" w:themeColor="text1"/>
        </w:rPr>
        <w:t xml:space="preserve"> article</w:t>
      </w:r>
      <w:r w:rsidRPr="003A37FF">
        <w:rPr>
          <w:color w:val="000000" w:themeColor="text1"/>
        </w:rPr>
        <w:t xml:space="preserve"> </w:t>
      </w:r>
      <w:r w:rsidR="00CB407E" w:rsidRPr="003A37FF">
        <w:rPr>
          <w:color w:val="000000" w:themeColor="text1"/>
        </w:rPr>
        <w:t>shows</w:t>
      </w:r>
      <w:r w:rsidRPr="003A37FF">
        <w:rPr>
          <w:color w:val="000000" w:themeColor="text1"/>
        </w:rPr>
        <w:t xml:space="preserve"> how financialization has had a much more struc</w:t>
      </w:r>
      <w:r w:rsidR="001A16E1" w:rsidRPr="003A37FF">
        <w:rPr>
          <w:color w:val="000000" w:themeColor="text1"/>
        </w:rPr>
        <w:t xml:space="preserve">tural transformation outside the issues </w:t>
      </w:r>
      <w:r w:rsidRPr="003A37FF">
        <w:rPr>
          <w:color w:val="000000" w:themeColor="text1"/>
        </w:rPr>
        <w:t xml:space="preserve">traditionally </w:t>
      </w:r>
      <w:r w:rsidRPr="003A37FF">
        <w:rPr>
          <w:color w:val="000000" w:themeColor="text1"/>
        </w:rPr>
        <w:lastRenderedPageBreak/>
        <w:t>associated with finance</w:t>
      </w:r>
      <w:r w:rsidR="000D3126" w:rsidRPr="003A37FF">
        <w:rPr>
          <w:color w:val="000000" w:themeColor="text1"/>
        </w:rPr>
        <w:t xml:space="preserve"> or corporate decision making</w:t>
      </w:r>
      <w:r w:rsidR="00544783" w:rsidRPr="003A37FF">
        <w:rPr>
          <w:color w:val="000000" w:themeColor="text1"/>
        </w:rPr>
        <w:t>, influencing the working of</w:t>
      </w:r>
      <w:r w:rsidR="002902CD" w:rsidRPr="003A37FF">
        <w:rPr>
          <w:color w:val="000000" w:themeColor="text1"/>
        </w:rPr>
        <w:t xml:space="preserve"> international institutions</w:t>
      </w:r>
      <w:r w:rsidRPr="003A37FF">
        <w:rPr>
          <w:color w:val="000000" w:themeColor="text1"/>
        </w:rPr>
        <w:t xml:space="preserve">. In our case, international law has been transformed into a profit center, in which the benefits can be shifted to </w:t>
      </w:r>
      <w:r w:rsidR="00FB0A44" w:rsidRPr="003A37FF">
        <w:rPr>
          <w:color w:val="000000" w:themeColor="text1"/>
        </w:rPr>
        <w:t>third-party</w:t>
      </w:r>
      <w:r w:rsidRPr="003A37FF">
        <w:rPr>
          <w:color w:val="000000" w:themeColor="text1"/>
        </w:rPr>
        <w:t xml:space="preserve"> investors and the risks can be hedged against. This technology has been used across a host of domestic and international </w:t>
      </w:r>
      <w:r w:rsidR="001A16E1" w:rsidRPr="003A37FF">
        <w:rPr>
          <w:color w:val="000000" w:themeColor="text1"/>
        </w:rPr>
        <w:t>arenas</w:t>
      </w:r>
      <w:r w:rsidRPr="003A37FF">
        <w:rPr>
          <w:color w:val="000000" w:themeColor="text1"/>
        </w:rPr>
        <w:t>. More generally, the</w:t>
      </w:r>
      <w:r w:rsidR="00832F28" w:rsidRPr="003A37FF">
        <w:rPr>
          <w:color w:val="000000" w:themeColor="text1"/>
        </w:rPr>
        <w:t xml:space="preserve"> article</w:t>
      </w:r>
      <w:r w:rsidRPr="003A37FF">
        <w:rPr>
          <w:color w:val="000000" w:themeColor="text1"/>
        </w:rPr>
        <w:t xml:space="preserve"> is a call for </w:t>
      </w:r>
      <w:r w:rsidR="008F1AD2" w:rsidRPr="003A37FF">
        <w:rPr>
          <w:color w:val="000000" w:themeColor="text1"/>
        </w:rPr>
        <w:t>political scientists</w:t>
      </w:r>
      <w:r w:rsidRPr="003A37FF">
        <w:rPr>
          <w:color w:val="000000" w:themeColor="text1"/>
        </w:rPr>
        <w:t xml:space="preserve"> to take a broad</w:t>
      </w:r>
      <w:r w:rsidR="00544783" w:rsidRPr="003A37FF">
        <w:rPr>
          <w:color w:val="000000" w:themeColor="text1"/>
        </w:rPr>
        <w:t>er</w:t>
      </w:r>
      <w:r w:rsidRPr="003A37FF">
        <w:rPr>
          <w:color w:val="000000" w:themeColor="text1"/>
        </w:rPr>
        <w:t xml:space="preserve"> </w:t>
      </w:r>
      <w:r w:rsidR="00544783" w:rsidRPr="003A37FF">
        <w:rPr>
          <w:color w:val="000000" w:themeColor="text1"/>
        </w:rPr>
        <w:t xml:space="preserve">perspective </w:t>
      </w:r>
      <w:r w:rsidR="00314281" w:rsidRPr="003A37FF">
        <w:rPr>
          <w:color w:val="000000" w:themeColor="text1"/>
        </w:rPr>
        <w:t>o</w:t>
      </w:r>
      <w:r w:rsidR="00544783" w:rsidRPr="003A37FF">
        <w:rPr>
          <w:color w:val="000000" w:themeColor="text1"/>
        </w:rPr>
        <w:t>n</w:t>
      </w:r>
      <w:r w:rsidRPr="003A37FF">
        <w:rPr>
          <w:color w:val="000000" w:themeColor="text1"/>
        </w:rPr>
        <w:t xml:space="preserve"> </w:t>
      </w:r>
      <w:r w:rsidR="00972EE6" w:rsidRPr="003A37FF">
        <w:rPr>
          <w:color w:val="000000" w:themeColor="text1"/>
        </w:rPr>
        <w:t xml:space="preserve">the role of </w:t>
      </w:r>
      <w:r w:rsidRPr="003A37FF">
        <w:rPr>
          <w:color w:val="000000" w:themeColor="text1"/>
        </w:rPr>
        <w:t xml:space="preserve">financialization for global politics. </w:t>
      </w:r>
    </w:p>
    <w:p w14:paraId="729ADEDF" w14:textId="77777777" w:rsidR="00FD7AD4" w:rsidRPr="003A37FF" w:rsidRDefault="00FD7AD4" w:rsidP="00C82FEC">
      <w:pPr>
        <w:spacing w:line="480" w:lineRule="auto"/>
      </w:pPr>
    </w:p>
    <w:p w14:paraId="6372A7E8" w14:textId="77777777" w:rsidR="00ED76EB" w:rsidRPr="003A37FF" w:rsidRDefault="00ED76EB" w:rsidP="00C82FEC">
      <w:pPr>
        <w:spacing w:line="480" w:lineRule="auto"/>
      </w:pPr>
    </w:p>
    <w:p w14:paraId="2DE26175" w14:textId="684CA4A8" w:rsidR="00ED76EB" w:rsidRPr="003A37FF" w:rsidRDefault="00ED76EB" w:rsidP="00F23E75">
      <w:r w:rsidRPr="003A37FF">
        <w:br w:type="page"/>
      </w:r>
      <w:r w:rsidRPr="003A37FF">
        <w:rPr>
          <w:b/>
        </w:rPr>
        <w:lastRenderedPageBreak/>
        <w:t>References</w:t>
      </w:r>
    </w:p>
    <w:p w14:paraId="3A676649" w14:textId="77777777" w:rsidR="00C77ED2" w:rsidRPr="00C77ED2" w:rsidRDefault="00ED76EB" w:rsidP="00C77ED2">
      <w:pPr>
        <w:pStyle w:val="Bibliography"/>
        <w:rPr>
          <w:rFonts w:ascii="Times New Roman" w:hAnsi="Times New Roman" w:cs="Times New Roman"/>
        </w:rPr>
      </w:pPr>
      <w:r w:rsidRPr="003A37FF">
        <w:fldChar w:fldCharType="begin"/>
      </w:r>
      <w:r w:rsidR="00C77ED2">
        <w:instrText xml:space="preserve"> ADDIN ZOTERO_BIBL {"uncited":[],"omitted":[],"custom":[]} CSL_BIBLIOGRAPHY </w:instrText>
      </w:r>
      <w:r w:rsidRPr="003A37FF">
        <w:fldChar w:fldCharType="separate"/>
      </w:r>
      <w:r w:rsidR="00C77ED2" w:rsidRPr="00C77ED2">
        <w:rPr>
          <w:rFonts w:ascii="Times New Roman" w:hAnsi="Times New Roman" w:cs="Times New Roman"/>
        </w:rPr>
        <w:t xml:space="preserve">Abbott, Andrew. 2005. “Linked Ecologies: States and Universities as Environments for Professions.” </w:t>
      </w:r>
      <w:r w:rsidR="00C77ED2" w:rsidRPr="00C77ED2">
        <w:rPr>
          <w:rFonts w:ascii="Times New Roman" w:hAnsi="Times New Roman" w:cs="Times New Roman"/>
          <w:i/>
          <w:iCs/>
        </w:rPr>
        <w:t>Sociological Theory</w:t>
      </w:r>
      <w:r w:rsidR="00C77ED2" w:rsidRPr="00C77ED2">
        <w:rPr>
          <w:rFonts w:ascii="Times New Roman" w:hAnsi="Times New Roman" w:cs="Times New Roman"/>
        </w:rPr>
        <w:t xml:space="preserve"> 23 (3): 245–274.</w:t>
      </w:r>
    </w:p>
    <w:p w14:paraId="2BCBC15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Acharya, Amitav. 2004. “How Ideas Spread: Whose Norms Matter? Norm Localization and Institutional Change in Asian Regionalism.” </w:t>
      </w:r>
      <w:r w:rsidRPr="00C77ED2">
        <w:rPr>
          <w:rFonts w:ascii="Times New Roman" w:hAnsi="Times New Roman" w:cs="Times New Roman"/>
          <w:i/>
          <w:iCs/>
        </w:rPr>
        <w:t>International Organization</w:t>
      </w:r>
      <w:r w:rsidRPr="00C77ED2">
        <w:rPr>
          <w:rFonts w:ascii="Times New Roman" w:hAnsi="Times New Roman" w:cs="Times New Roman"/>
        </w:rPr>
        <w:t xml:space="preserve"> 58 (02). https://doi.org/10.1017/S0020818304582024.</w:t>
      </w:r>
    </w:p>
    <w:p w14:paraId="42C59AC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Alter, Karen J., and Sophie Meunier. 2009. “The Politics of International Regime Complexity.” </w:t>
      </w:r>
      <w:r w:rsidRPr="00C77ED2">
        <w:rPr>
          <w:rFonts w:ascii="Times New Roman" w:hAnsi="Times New Roman" w:cs="Times New Roman"/>
          <w:i/>
          <w:iCs/>
        </w:rPr>
        <w:t>Perspectives on Politics</w:t>
      </w:r>
      <w:r w:rsidRPr="00C77ED2">
        <w:rPr>
          <w:rFonts w:ascii="Times New Roman" w:hAnsi="Times New Roman" w:cs="Times New Roman"/>
        </w:rPr>
        <w:t xml:space="preserve"> 7 (01): 13–24.</w:t>
      </w:r>
    </w:p>
    <w:p w14:paraId="31D05CAD"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Ban, Cornel. 2016. </w:t>
      </w:r>
      <w:r w:rsidRPr="00C77ED2">
        <w:rPr>
          <w:rFonts w:ascii="Times New Roman" w:hAnsi="Times New Roman" w:cs="Times New Roman"/>
          <w:i/>
          <w:iCs/>
        </w:rPr>
        <w:t>Ruling Ideas: How Global Neoliberalism Goes Local</w:t>
      </w:r>
      <w:r w:rsidRPr="00C77ED2">
        <w:rPr>
          <w:rFonts w:ascii="Times New Roman" w:hAnsi="Times New Roman" w:cs="Times New Roman"/>
        </w:rPr>
        <w:t>. Oxford University Press. https://books.google.com/books?hl=en&amp;lr=&amp;id=VMcwDAAAQBAJ&amp;oi=fnd&amp;pg=PP1&amp;dq=ban+2016+ideas&amp;ots=XSdzkFCx_o&amp;sig=sVxS4Xi4wCF9W3quT8cz674VF88.</w:t>
      </w:r>
    </w:p>
    <w:p w14:paraId="2180272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Ban, Cornel, and Bryan Patenaude. 2019. “The Professional Politics of the Austerity Debate: A Comparative Field Analysis of the European Central Bank and the International Monetary Fund.” </w:t>
      </w:r>
      <w:r w:rsidRPr="00C77ED2">
        <w:rPr>
          <w:rFonts w:ascii="Times New Roman" w:hAnsi="Times New Roman" w:cs="Times New Roman"/>
          <w:i/>
          <w:iCs/>
        </w:rPr>
        <w:t>Public Administration</w:t>
      </w:r>
      <w:r w:rsidRPr="00C77ED2">
        <w:rPr>
          <w:rFonts w:ascii="Times New Roman" w:hAnsi="Times New Roman" w:cs="Times New Roman"/>
        </w:rPr>
        <w:t xml:space="preserve"> 97 (3): 530–45. https://doi.org/10.1111/padm.12561.</w:t>
      </w:r>
    </w:p>
    <w:p w14:paraId="4C6AAF8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Ban, Cornel, Leonard Seabrooke, and Sarah Freitas. 2016. “Grey Matter in Shadow Banking: International Organizations and Expert Strategies in Global Financial Governance.” </w:t>
      </w:r>
      <w:r w:rsidRPr="00C77ED2">
        <w:rPr>
          <w:rFonts w:ascii="Times New Roman" w:hAnsi="Times New Roman" w:cs="Times New Roman"/>
          <w:i/>
          <w:iCs/>
        </w:rPr>
        <w:t>Review of International Political Economy</w:t>
      </w:r>
      <w:r w:rsidRPr="00C77ED2">
        <w:rPr>
          <w:rFonts w:ascii="Times New Roman" w:hAnsi="Times New Roman" w:cs="Times New Roman"/>
        </w:rPr>
        <w:t xml:space="preserve"> 23 (6): 1001–33. https://doi.org/10.1080/09692290.2016.1235599.</w:t>
      </w:r>
    </w:p>
    <w:p w14:paraId="33DC95E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Barnett, Michael N., and Martha Finnemore. 1999. “The Politics, Power, and Pathologies of International Organizations.” </w:t>
      </w:r>
      <w:r w:rsidRPr="00C77ED2">
        <w:rPr>
          <w:rFonts w:ascii="Times New Roman" w:hAnsi="Times New Roman" w:cs="Times New Roman"/>
          <w:i/>
          <w:iCs/>
        </w:rPr>
        <w:t>International Organization</w:t>
      </w:r>
      <w:r w:rsidRPr="00C77ED2">
        <w:rPr>
          <w:rFonts w:ascii="Times New Roman" w:hAnsi="Times New Roman" w:cs="Times New Roman"/>
        </w:rPr>
        <w:t xml:space="preserve"> 53 (04): 699–732.</w:t>
      </w:r>
    </w:p>
    <w:p w14:paraId="306F79D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Besedovsky, Natalia. 2018. “Financialization as Calculative Practice: The Rise of Structured Finance and the Cultural and Calculative Transformation of Credit Rating Agencies.” </w:t>
      </w:r>
      <w:r w:rsidRPr="00C77ED2">
        <w:rPr>
          <w:rFonts w:ascii="Times New Roman" w:hAnsi="Times New Roman" w:cs="Times New Roman"/>
          <w:i/>
          <w:iCs/>
        </w:rPr>
        <w:t>Socio-Economic Review</w:t>
      </w:r>
      <w:r w:rsidRPr="00C77ED2">
        <w:rPr>
          <w:rFonts w:ascii="Times New Roman" w:hAnsi="Times New Roman" w:cs="Times New Roman"/>
        </w:rPr>
        <w:t xml:space="preserve"> 16 (1): 61–84. https://doi.org/10.1093/ser/mwx043.</w:t>
      </w:r>
    </w:p>
    <w:p w14:paraId="3FA0F18F"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Brekoulakis, Stavros, and Catherine Rogers. 2019. “Third Party Financing in ISDS A Framework for Understanding Practice and Policy Regarding Third-Party Financing in ISDS.” Version 2. Academic Forum on ISDS Concept Paper 2019/11.</w:t>
      </w:r>
    </w:p>
    <w:p w14:paraId="1C5FE25A"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Calunius Capital. 2018. “Commercial Litigation Funding &amp; Arbitration Finance.” 2018. http://www.calunius.com/who-uses-litigation-funding/the-solvent-business.aspx.</w:t>
      </w:r>
    </w:p>
    <w:p w14:paraId="257B63A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Calvert, Julia. 2018. “Constructing Investor Rights? Why Some States (Fail to) Terminate Bilateral Investment Treaties.” </w:t>
      </w:r>
      <w:r w:rsidRPr="00C77ED2">
        <w:rPr>
          <w:rFonts w:ascii="Times New Roman" w:hAnsi="Times New Roman" w:cs="Times New Roman"/>
          <w:i/>
          <w:iCs/>
        </w:rPr>
        <w:t>Review of International Political Economy</w:t>
      </w:r>
      <w:r w:rsidRPr="00C77ED2">
        <w:rPr>
          <w:rFonts w:ascii="Times New Roman" w:hAnsi="Times New Roman" w:cs="Times New Roman"/>
        </w:rPr>
        <w:t xml:space="preserve"> 25 (1): 75–97.</w:t>
      </w:r>
    </w:p>
    <w:p w14:paraId="09AA9FB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Cappelletti, Mauro, and Bryant Garth. 1977. “Access to Justice: The Newest Wave in the Worldwide Movement to Make Rights Effective.” </w:t>
      </w:r>
      <w:r w:rsidRPr="00C77ED2">
        <w:rPr>
          <w:rFonts w:ascii="Times New Roman" w:hAnsi="Times New Roman" w:cs="Times New Roman"/>
          <w:i/>
          <w:iCs/>
        </w:rPr>
        <w:t>Buff. L. Rev.</w:t>
      </w:r>
      <w:r w:rsidRPr="00C77ED2">
        <w:rPr>
          <w:rFonts w:ascii="Times New Roman" w:hAnsi="Times New Roman" w:cs="Times New Roman"/>
        </w:rPr>
        <w:t xml:space="preserve"> 27: 181.</w:t>
      </w:r>
    </w:p>
    <w:p w14:paraId="71BCE83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Cerny, Philip G. 1994. “The Dynamics of Financial Globalization: Technology, Market Structure, and Policy Response.” </w:t>
      </w:r>
      <w:r w:rsidRPr="00C77ED2">
        <w:rPr>
          <w:rFonts w:ascii="Times New Roman" w:hAnsi="Times New Roman" w:cs="Times New Roman"/>
          <w:i/>
          <w:iCs/>
        </w:rPr>
        <w:t>Policy Sciences</w:t>
      </w:r>
      <w:r w:rsidRPr="00C77ED2">
        <w:rPr>
          <w:rFonts w:ascii="Times New Roman" w:hAnsi="Times New Roman" w:cs="Times New Roman"/>
        </w:rPr>
        <w:t xml:space="preserve"> 27 (4): 319–342.</w:t>
      </w:r>
    </w:p>
    <w:p w14:paraId="7726936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Chiasson, Borden Ladner Gervais LLP-Craig, and Hunter Parsons. 2013. “Financing Disputes – the Third-Party Funding Option.” Lexology. December 9, 2013. https://www.lexology.com/library/detail.aspx?g=6f314b6a-e32a-4d6b-8ffb-2942e2f2b6ac.</w:t>
      </w:r>
    </w:p>
    <w:p w14:paraId="1DF19A1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Chwieroth, Jeffrey M, and Andrew Walter. 2019. “The Financialization of Mass Wealth, Banking Crises and Politics over the Long Run.” </w:t>
      </w:r>
      <w:r w:rsidRPr="00C77ED2">
        <w:rPr>
          <w:rFonts w:ascii="Times New Roman" w:hAnsi="Times New Roman" w:cs="Times New Roman"/>
          <w:i/>
          <w:iCs/>
        </w:rPr>
        <w:t>European Journal of International Relations</w:t>
      </w:r>
      <w:r w:rsidRPr="00C77ED2">
        <w:rPr>
          <w:rFonts w:ascii="Times New Roman" w:hAnsi="Times New Roman" w:cs="Times New Roman"/>
        </w:rPr>
        <w:t xml:space="preserve"> 25 (4): 1007–34. https://doi.org/10.1177/1354066119843319.</w:t>
      </w:r>
    </w:p>
    <w:p w14:paraId="58B0CC01"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Cleary Gottlieb. 2019. “Implications of U.S. Court of Appeals Decision Affirming That Petróleos de Venezuela, S.A. Is the Alter Ego of the Republic of Venezuela.” </w:t>
      </w:r>
      <w:r w:rsidRPr="00C77ED2">
        <w:rPr>
          <w:rFonts w:ascii="Times New Roman" w:hAnsi="Times New Roman" w:cs="Times New Roman"/>
        </w:rPr>
        <w:lastRenderedPageBreak/>
        <w:t>https://www.clearygottlieb.com/-/media/files/alert-memos-2019/2019_09_09-implications-of-pdvsa-alter-ego-decision-for-other-sovereigns-pdf.pdf.</w:t>
      </w:r>
    </w:p>
    <w:p w14:paraId="118F1AEF"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Commission, Jeffery P. 2016. “How Much Does an ICSID Arbitration Cost? A Snapshot of the Last Five Years.” Kluwer Arbitration Blog. February 29, 2016. http://arbitrationblog.kluwerarbitration.com/2016/02/29/how-much-does-an-icsid-arbitration-cost-a-snapshot-of-the-last-five-years/.</w:t>
      </w:r>
    </w:p>
    <w:p w14:paraId="3A08EAC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Corporate Europe Observatory. 2012. “Chapter 5: Speculating on Injustice: Third-Party Funding of Investment Disputes.” Corporate Europe Observatory. November 27, 2012. https://corporateeurope.org/trade/2012/11/chapter-5-speculating-injustice-third-party-funding-investment-disputes.</w:t>
      </w:r>
    </w:p>
    <w:p w14:paraId="03230D91"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Dafe, Florence, and Zoe Williams. 2020. “Banking on Courts: Financialization and the Rise of Third-Party Funding in Investment Arbitration.” </w:t>
      </w:r>
      <w:r w:rsidRPr="00C77ED2">
        <w:rPr>
          <w:rFonts w:ascii="Times New Roman" w:hAnsi="Times New Roman" w:cs="Times New Roman"/>
          <w:i/>
          <w:iCs/>
        </w:rPr>
        <w:t>Review of International Political Economy</w:t>
      </w:r>
      <w:r w:rsidRPr="00C77ED2">
        <w:rPr>
          <w:rFonts w:ascii="Times New Roman" w:hAnsi="Times New Roman" w:cs="Times New Roman"/>
        </w:rPr>
        <w:t>, May, 1–23. https://doi.org/10.1080/09692290.2020.1764378.</w:t>
      </w:r>
    </w:p>
    <w:p w14:paraId="72CC152A"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Davis, Gerald F. 2009. </w:t>
      </w:r>
      <w:r w:rsidRPr="00C77ED2">
        <w:rPr>
          <w:rFonts w:ascii="Times New Roman" w:hAnsi="Times New Roman" w:cs="Times New Roman"/>
          <w:i/>
          <w:iCs/>
        </w:rPr>
        <w:t>Managed by the Markets: How Finance Re-Shaped America</w:t>
      </w:r>
      <w:r w:rsidRPr="00C77ED2">
        <w:rPr>
          <w:rFonts w:ascii="Times New Roman" w:hAnsi="Times New Roman" w:cs="Times New Roman"/>
        </w:rPr>
        <w:t>. OUP Oxford. http://books.google.com/books?hl=en&amp;lr=&amp;id=ALOPj3KMknoC&amp;oi=fnd&amp;pg=PT2&amp;dq=info:w1RrOpwG1O8J:scholar.google.com&amp;ots=luR6NgHuSB&amp;sig=rBDvuj9BkEpl19DRlThCrzcb_RA.</w:t>
      </w:r>
    </w:p>
    <w:p w14:paraId="1A54F3E2"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Davis, Gerald F., and Suntae Kim. 2015. “Financialization of the Economy.” </w:t>
      </w:r>
      <w:r w:rsidRPr="00C77ED2">
        <w:rPr>
          <w:rFonts w:ascii="Times New Roman" w:hAnsi="Times New Roman" w:cs="Times New Roman"/>
          <w:i/>
          <w:iCs/>
        </w:rPr>
        <w:t>Sociology</w:t>
      </w:r>
      <w:r w:rsidRPr="00C77ED2">
        <w:rPr>
          <w:rFonts w:ascii="Times New Roman" w:hAnsi="Times New Roman" w:cs="Times New Roman"/>
        </w:rPr>
        <w:t xml:space="preserve"> 41 (1): 203.</w:t>
      </w:r>
    </w:p>
    <w:p w14:paraId="481CE6D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Dezalay, Yves, and Bryant G. Garth. 1996. </w:t>
      </w:r>
      <w:r w:rsidRPr="00C77ED2">
        <w:rPr>
          <w:rFonts w:ascii="Times New Roman" w:hAnsi="Times New Roman" w:cs="Times New Roman"/>
          <w:i/>
          <w:iCs/>
        </w:rPr>
        <w:t>Dealing in Virtue: International Commercial Arbitration and the Construction of a Transnational Legal Order</w:t>
      </w:r>
      <w:r w:rsidRPr="00C77ED2">
        <w:rPr>
          <w:rFonts w:ascii="Times New Roman" w:hAnsi="Times New Roman" w:cs="Times New Roman"/>
        </w:rPr>
        <w:t>. University of Chicago Press.</w:t>
      </w:r>
    </w:p>
    <w:p w14:paraId="17CF9ED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Djelic, Marie-Laure, and Kerstin Sahlin-Andersson, eds. 2006. “List of Acronyms.” In </w:t>
      </w:r>
      <w:r w:rsidRPr="00C77ED2">
        <w:rPr>
          <w:rFonts w:ascii="Times New Roman" w:hAnsi="Times New Roman" w:cs="Times New Roman"/>
          <w:i/>
          <w:iCs/>
        </w:rPr>
        <w:t>Transnational Governance</w:t>
      </w:r>
      <w:r w:rsidRPr="00C77ED2">
        <w:rPr>
          <w:rFonts w:ascii="Times New Roman" w:hAnsi="Times New Roman" w:cs="Times New Roman"/>
        </w:rPr>
        <w:t>, xix–xxii. Cambridge: Cambridge University Press. https://doi.org/10.1017/CBO9780511488665.001.</w:t>
      </w:r>
    </w:p>
    <w:p w14:paraId="130E744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Drezner, Daniel W. 2008. </w:t>
      </w:r>
      <w:r w:rsidRPr="00C77ED2">
        <w:rPr>
          <w:rFonts w:ascii="Times New Roman" w:hAnsi="Times New Roman" w:cs="Times New Roman"/>
          <w:i/>
          <w:iCs/>
        </w:rPr>
        <w:t>All Politics Is Global: Explaining International Regulatory Regimes</w:t>
      </w:r>
      <w:r w:rsidRPr="00C77ED2">
        <w:rPr>
          <w:rFonts w:ascii="Times New Roman" w:hAnsi="Times New Roman" w:cs="Times New Roman"/>
        </w:rPr>
        <w:t>. Princeton, N.J.; Woodstock: Princeton University Press.</w:t>
      </w:r>
    </w:p>
    <w:p w14:paraId="2C909D0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Epstein, Gerald A. 2005. </w:t>
      </w:r>
      <w:r w:rsidRPr="00C77ED2">
        <w:rPr>
          <w:rFonts w:ascii="Times New Roman" w:hAnsi="Times New Roman" w:cs="Times New Roman"/>
          <w:i/>
          <w:iCs/>
        </w:rPr>
        <w:t>Financialization and the World Economy</w:t>
      </w:r>
      <w:r w:rsidRPr="00C77ED2">
        <w:rPr>
          <w:rFonts w:ascii="Times New Roman" w:hAnsi="Times New Roman" w:cs="Times New Roman"/>
        </w:rPr>
        <w:t>. Edward Elgar Publishing.</w:t>
      </w:r>
    </w:p>
    <w:p w14:paraId="42E483A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Evans, Rhonda, and Tamara Kay. 2008. “How Environmentalists ‘Greened’ Trade Policy: Strategic Action and the Architecture of Field Overlap.” </w:t>
      </w:r>
      <w:r w:rsidRPr="00C77ED2">
        <w:rPr>
          <w:rFonts w:ascii="Times New Roman" w:hAnsi="Times New Roman" w:cs="Times New Roman"/>
          <w:i/>
          <w:iCs/>
        </w:rPr>
        <w:t>American Sociological Review</w:t>
      </w:r>
      <w:r w:rsidRPr="00C77ED2">
        <w:rPr>
          <w:rFonts w:ascii="Times New Roman" w:hAnsi="Times New Roman" w:cs="Times New Roman"/>
        </w:rPr>
        <w:t xml:space="preserve"> 73 (6): 970–991.</w:t>
      </w:r>
    </w:p>
    <w:p w14:paraId="539ACE3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Farrell, Henry, and Abraham L. Newman. 2014. “Domestic Institutions beyond the Nation-State: Charting the New Interdependence Approach.” </w:t>
      </w:r>
      <w:r w:rsidRPr="00C77ED2">
        <w:rPr>
          <w:rFonts w:ascii="Times New Roman" w:hAnsi="Times New Roman" w:cs="Times New Roman"/>
          <w:i/>
          <w:iCs/>
        </w:rPr>
        <w:t>World Politics</w:t>
      </w:r>
      <w:r w:rsidRPr="00C77ED2">
        <w:rPr>
          <w:rFonts w:ascii="Times New Roman" w:hAnsi="Times New Roman" w:cs="Times New Roman"/>
        </w:rPr>
        <w:t xml:space="preserve"> 66 (02): 331–363.</w:t>
      </w:r>
    </w:p>
    <w:p w14:paraId="74E70C0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Fligstein, Neil, and Doug McAdam. 2012. </w:t>
      </w:r>
      <w:r w:rsidRPr="00C77ED2">
        <w:rPr>
          <w:rFonts w:ascii="Times New Roman" w:hAnsi="Times New Roman" w:cs="Times New Roman"/>
          <w:i/>
          <w:iCs/>
        </w:rPr>
        <w:t>A Theory of Fields</w:t>
      </w:r>
      <w:r w:rsidRPr="00C77ED2">
        <w:rPr>
          <w:rFonts w:ascii="Times New Roman" w:hAnsi="Times New Roman" w:cs="Times New Roman"/>
        </w:rPr>
        <w:t>. Oxford University Press. https://books.google.com/books?hl=en&amp;lr=&amp;id=7uFoAgAAQBAJ&amp;oi=fnd&amp;pg=PP1&amp;dq=fligstein+fields&amp;ots=y9l_x8irpe&amp;sig=1sXoMqjG30Nxlfz8JPo3k-SwpfY.</w:t>
      </w:r>
    </w:p>
    <w:p w14:paraId="5EC5F4EF"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Furnari, Santi. 2016. “Institutional Fields as Linked Arenas: Inter-Field Resource Dependence, Institutional Work and Institutional Change.” </w:t>
      </w:r>
      <w:r w:rsidRPr="00C77ED2">
        <w:rPr>
          <w:rFonts w:ascii="Times New Roman" w:hAnsi="Times New Roman" w:cs="Times New Roman"/>
          <w:i/>
          <w:iCs/>
        </w:rPr>
        <w:t>Human Relations</w:t>
      </w:r>
      <w:r w:rsidRPr="00C77ED2">
        <w:rPr>
          <w:rFonts w:ascii="Times New Roman" w:hAnsi="Times New Roman" w:cs="Times New Roman"/>
        </w:rPr>
        <w:t xml:space="preserve"> 69 (3): 551–80. https://doi.org/10.1177/0018726715605555.</w:t>
      </w:r>
    </w:p>
    <w:p w14:paraId="6B52673D"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Gabor, Daniela, and Cornel Ban. 2016. “Banking on Bonds: The New Links between States and Markets.” </w:t>
      </w:r>
      <w:r w:rsidRPr="00C77ED2">
        <w:rPr>
          <w:rFonts w:ascii="Times New Roman" w:hAnsi="Times New Roman" w:cs="Times New Roman"/>
          <w:i/>
          <w:iCs/>
        </w:rPr>
        <w:t>JCMS: Journal of Common Market Studies</w:t>
      </w:r>
      <w:r w:rsidRPr="00C77ED2">
        <w:rPr>
          <w:rFonts w:ascii="Times New Roman" w:hAnsi="Times New Roman" w:cs="Times New Roman"/>
        </w:rPr>
        <w:t xml:space="preserve"> 54 (3): 617–635.</w:t>
      </w:r>
    </w:p>
    <w:p w14:paraId="534F770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Garcia, Frank J. 2018. “Third-Party Funding as Exploitation of the Investment Treaty System.” </w:t>
      </w:r>
      <w:r w:rsidRPr="00C77ED2">
        <w:rPr>
          <w:rFonts w:ascii="Times New Roman" w:hAnsi="Times New Roman" w:cs="Times New Roman"/>
          <w:i/>
          <w:iCs/>
        </w:rPr>
        <w:t>Boston College Law School Faculty Papers</w:t>
      </w:r>
      <w:r w:rsidRPr="00C77ED2">
        <w:rPr>
          <w:rFonts w:ascii="Times New Roman" w:hAnsi="Times New Roman" w:cs="Times New Roman"/>
        </w:rPr>
        <w:t>.</w:t>
      </w:r>
    </w:p>
    <w:p w14:paraId="2A957EA4"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Garcia, Frank J., Leo Gargne, Hyun Ju Cho, Tara Santosuosso, Randall Scarlett, and Rachel Denae Thrasher. 2018. “The Case Against Third-Party Funding in ISDS: Executive </w:t>
      </w:r>
      <w:r w:rsidRPr="00C77ED2">
        <w:rPr>
          <w:rFonts w:ascii="Times New Roman" w:hAnsi="Times New Roman" w:cs="Times New Roman"/>
        </w:rPr>
        <w:lastRenderedPageBreak/>
        <w:t xml:space="preserve">Summary.” </w:t>
      </w:r>
      <w:r w:rsidRPr="00C77ED2">
        <w:rPr>
          <w:rFonts w:ascii="Times New Roman" w:hAnsi="Times New Roman" w:cs="Times New Roman"/>
          <w:i/>
          <w:iCs/>
        </w:rPr>
        <w:t>Boston College Law School–PUC University of Chile, Working Group on Trade &amp; Investment Law Reform, Third-Party Funding Task Force</w:t>
      </w:r>
      <w:r w:rsidRPr="00C77ED2">
        <w:rPr>
          <w:rFonts w:ascii="Times New Roman" w:hAnsi="Times New Roman" w:cs="Times New Roman"/>
        </w:rPr>
        <w:t>.</w:t>
      </w:r>
    </w:p>
    <w:p w14:paraId="4428172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Garrett, Geoffrey. 2000. “The Causes of Globalization.” </w:t>
      </w:r>
      <w:r w:rsidRPr="00C77ED2">
        <w:rPr>
          <w:rFonts w:ascii="Times New Roman" w:hAnsi="Times New Roman" w:cs="Times New Roman"/>
          <w:i/>
          <w:iCs/>
        </w:rPr>
        <w:t>Comparative Political Studies</w:t>
      </w:r>
      <w:r w:rsidRPr="00C77ED2">
        <w:rPr>
          <w:rFonts w:ascii="Times New Roman" w:hAnsi="Times New Roman" w:cs="Times New Roman"/>
        </w:rPr>
        <w:t xml:space="preserve"> 33 (6–7): 941–991.</w:t>
      </w:r>
    </w:p>
    <w:p w14:paraId="510DB24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Glater, Jonathan D. 2009. “Investors Finance Lawsuits and Reap Any Benefits.” New York Times. June 2, 2009. https://www.nytimes.com/2009/06/03/business/03litigate.html.</w:t>
      </w:r>
    </w:p>
    <w:p w14:paraId="157DFA1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Green, Jessica F. 2013. </w:t>
      </w:r>
      <w:r w:rsidRPr="00C77ED2">
        <w:rPr>
          <w:rFonts w:ascii="Times New Roman" w:hAnsi="Times New Roman" w:cs="Times New Roman"/>
          <w:i/>
          <w:iCs/>
        </w:rPr>
        <w:t>Rethinking Private Authority: Agents and Entrepreneurs in Global Environmental Governance</w:t>
      </w:r>
      <w:r w:rsidRPr="00C77ED2">
        <w:rPr>
          <w:rFonts w:ascii="Times New Roman" w:hAnsi="Times New Roman" w:cs="Times New Roman"/>
        </w:rPr>
        <w:t>. Princeton University Press. https://books.google.com/books?hl=en&amp;lr=&amp;id=RaX3AAAAQBAJ&amp;oi=fnd&amp;pg=PP1&amp;dq=green+2013+authority&amp;ots=oHROvdU8Qq&amp;sig=yxN-nySJBSv1vygc3Uc_OsH35pk.</w:t>
      </w:r>
    </w:p>
    <w:p w14:paraId="1CF0B84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Guven, Brooke, and Lise Johnson. 2019. “The Policy Implications of Third-Party Funding in Investor-State Dispute Settlement.” CCSI Working Paper 2019.</w:t>
      </w:r>
    </w:p>
    <w:p w14:paraId="59D92BF1"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Halliday, Terence C., and Gregory Shaffer. 2015. </w:t>
      </w:r>
      <w:r w:rsidRPr="00C77ED2">
        <w:rPr>
          <w:rFonts w:ascii="Times New Roman" w:hAnsi="Times New Roman" w:cs="Times New Roman"/>
          <w:i/>
          <w:iCs/>
        </w:rPr>
        <w:t>Transnational Legal Orders</w:t>
      </w:r>
      <w:r w:rsidRPr="00C77ED2">
        <w:rPr>
          <w:rFonts w:ascii="Times New Roman" w:hAnsi="Times New Roman" w:cs="Times New Roman"/>
        </w:rPr>
        <w:t>. Cambridge University Press.</w:t>
      </w:r>
    </w:p>
    <w:p w14:paraId="7B779B5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Hals, Tom. 2018. “Want to Sue Venezuela for Millions? These Firms Can Help, for a Price.” </w:t>
      </w:r>
      <w:r w:rsidRPr="00C77ED2">
        <w:rPr>
          <w:rFonts w:ascii="Times New Roman" w:hAnsi="Times New Roman" w:cs="Times New Roman"/>
          <w:i/>
          <w:iCs/>
        </w:rPr>
        <w:t>Reuters</w:t>
      </w:r>
      <w:r w:rsidRPr="00C77ED2">
        <w:rPr>
          <w:rFonts w:ascii="Times New Roman" w:hAnsi="Times New Roman" w:cs="Times New Roman"/>
        </w:rPr>
        <w:t>, December 21, 2018. https://www.reuters.com/article/us-venezuela-lawsuits-finance-insight-idUSKCN1OK0EP.</w:t>
      </w:r>
    </w:p>
    <w:p w14:paraId="368F0377"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Hamby, Chris. 2016. “How Big Banks Bled A Tiny Island Nation.” BuzzFeed News. August 31, 2016. https://www.buzzfeednews.com/article/chrishamby/not-just-a-court-system-its-a-gold-mine.</w:t>
      </w:r>
    </w:p>
    <w:p w14:paraId="2784C22D"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Helgadóttir, Oddný. 2016. “Banking Upside down: The Implicit Politics of Shadow Banking Expertise.” </w:t>
      </w:r>
      <w:r w:rsidRPr="00C77ED2">
        <w:rPr>
          <w:rFonts w:ascii="Times New Roman" w:hAnsi="Times New Roman" w:cs="Times New Roman"/>
          <w:i/>
          <w:iCs/>
        </w:rPr>
        <w:t>Review of International Political Economy</w:t>
      </w:r>
      <w:r w:rsidRPr="00C77ED2">
        <w:rPr>
          <w:rFonts w:ascii="Times New Roman" w:hAnsi="Times New Roman" w:cs="Times New Roman"/>
        </w:rPr>
        <w:t xml:space="preserve"> 23 (6): 915–40. https://doi.org/10.1080/09692290.2016.1224196.</w:t>
      </w:r>
    </w:p>
    <w:p w14:paraId="2B19F8F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Hensler, Deborah R. 2010. “The Future of Mass Litigation: Global Class Actions and Third-Party Litigation Funding.” </w:t>
      </w:r>
      <w:r w:rsidRPr="00C77ED2">
        <w:rPr>
          <w:rFonts w:ascii="Times New Roman" w:hAnsi="Times New Roman" w:cs="Times New Roman"/>
          <w:i/>
          <w:iCs/>
        </w:rPr>
        <w:t>Geo. Wash. L. Rev.</w:t>
      </w:r>
      <w:r w:rsidRPr="00C77ED2">
        <w:rPr>
          <w:rFonts w:ascii="Times New Roman" w:hAnsi="Times New Roman" w:cs="Times New Roman"/>
        </w:rPr>
        <w:t xml:space="preserve"> 79: 306.</w:t>
      </w:r>
    </w:p>
    <w:p w14:paraId="1E6FD8B2"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International Council for Commercial Arbitration. 2018. </w:t>
      </w:r>
      <w:r w:rsidRPr="00C77ED2">
        <w:rPr>
          <w:rFonts w:ascii="Times New Roman" w:hAnsi="Times New Roman" w:cs="Times New Roman"/>
          <w:i/>
          <w:iCs/>
        </w:rPr>
        <w:t>Report of the ICCA-Queen Mary Task Force on Third-Party Funding in International Arbitration</w:t>
      </w:r>
      <w:r w:rsidRPr="00C77ED2">
        <w:rPr>
          <w:rFonts w:ascii="Times New Roman" w:hAnsi="Times New Roman" w:cs="Times New Roman"/>
        </w:rPr>
        <w:t>. http://www.kluwerarbitration.com/book-toc?title=ICCA%20Reports%20No.%204%3A%20Report%20of%20the%20ICCA-Queen%20Mary%20Task%20Force%20on%20Third-Party%20Funding%20in%20International%20Arbitration.</w:t>
      </w:r>
    </w:p>
    <w:p w14:paraId="43D8DF68"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Johns, Leslie, Calvin Thrall, and Rachel L. Wellhausen. 2019. “Judicial Economy and Moving Bars in International Investment Arbitration.” Working paper.</w:t>
      </w:r>
    </w:p>
    <w:p w14:paraId="71FF8234"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Kahraman, Filiz, Nikhil Kalyanpur, and Abraham L. Newman. 2020. “Domestic Courts, Transnational Law, and International Order.” </w:t>
      </w:r>
      <w:r w:rsidRPr="00C77ED2">
        <w:rPr>
          <w:rFonts w:ascii="Times New Roman" w:hAnsi="Times New Roman" w:cs="Times New Roman"/>
          <w:i/>
          <w:iCs/>
        </w:rPr>
        <w:t>European Journal of International Relations</w:t>
      </w:r>
      <w:r w:rsidRPr="00C77ED2">
        <w:rPr>
          <w:rFonts w:ascii="Times New Roman" w:hAnsi="Times New Roman" w:cs="Times New Roman"/>
        </w:rPr>
        <w:t>.</w:t>
      </w:r>
    </w:p>
    <w:p w14:paraId="7232F488"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Kalyanpur, Nikhil. 2018. “Hegemony, Inequality, and the Quest for Primacy.” </w:t>
      </w:r>
      <w:r w:rsidRPr="00C77ED2">
        <w:rPr>
          <w:rFonts w:ascii="Times New Roman" w:hAnsi="Times New Roman" w:cs="Times New Roman"/>
          <w:i/>
          <w:iCs/>
        </w:rPr>
        <w:t>Journal of Global Security Studies</w:t>
      </w:r>
      <w:r w:rsidRPr="00C77ED2">
        <w:rPr>
          <w:rFonts w:ascii="Times New Roman" w:hAnsi="Times New Roman" w:cs="Times New Roman"/>
        </w:rPr>
        <w:t>.</w:t>
      </w:r>
    </w:p>
    <w:p w14:paraId="27DBF82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Kalyanpur, Nikhil, and Abraham Newman. 2017. “Form over Function in Finance: International Institutional Design by Bricolage.” </w:t>
      </w:r>
      <w:r w:rsidRPr="00C77ED2">
        <w:rPr>
          <w:rFonts w:ascii="Times New Roman" w:hAnsi="Times New Roman" w:cs="Times New Roman"/>
          <w:i/>
          <w:iCs/>
        </w:rPr>
        <w:t>Review of International Political Economy</w:t>
      </w:r>
      <w:r w:rsidRPr="00C77ED2">
        <w:rPr>
          <w:rFonts w:ascii="Times New Roman" w:hAnsi="Times New Roman" w:cs="Times New Roman"/>
        </w:rPr>
        <w:t xml:space="preserve"> 24 (3): 363–392.</w:t>
      </w:r>
    </w:p>
    <w:p w14:paraId="3CCA9AB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Kalyanpur, Nikhil, and Abraham L. Newman. 2019. “Mobilizing Market Power: Jurisdictional Expansion as Economic Statecraft.” </w:t>
      </w:r>
      <w:r w:rsidRPr="00C77ED2">
        <w:rPr>
          <w:rFonts w:ascii="Times New Roman" w:hAnsi="Times New Roman" w:cs="Times New Roman"/>
          <w:i/>
          <w:iCs/>
        </w:rPr>
        <w:t>International Organization</w:t>
      </w:r>
      <w:r w:rsidRPr="00C77ED2">
        <w:rPr>
          <w:rFonts w:ascii="Times New Roman" w:hAnsi="Times New Roman" w:cs="Times New Roman"/>
        </w:rPr>
        <w:t>, 1–34.</w:t>
      </w:r>
    </w:p>
    <w:p w14:paraId="439D8BE9"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Landy, David. 2015. “Bringing the Outside In: Field Interaction and Transformation from Below in Political Struggles.” </w:t>
      </w:r>
      <w:r w:rsidRPr="00C77ED2">
        <w:rPr>
          <w:rFonts w:ascii="Times New Roman" w:hAnsi="Times New Roman" w:cs="Times New Roman"/>
          <w:i/>
          <w:iCs/>
        </w:rPr>
        <w:t>Social Movement Studies</w:t>
      </w:r>
      <w:r w:rsidRPr="00C77ED2">
        <w:rPr>
          <w:rFonts w:ascii="Times New Roman" w:hAnsi="Times New Roman" w:cs="Times New Roman"/>
        </w:rPr>
        <w:t xml:space="preserve"> 14 (3): 255–69. https://doi.org/10.1080/14742837.2014.945412.</w:t>
      </w:r>
    </w:p>
    <w:p w14:paraId="0E0D3D0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lastRenderedPageBreak/>
        <w:t>Lindeman, Ralph. 2010. “Third-Party Investors Offer New Funding Source for Major Commercial Lawsuits.” Fulbrook Capital Management LLC. March 10, 2010. https://fulbrookmanagement.com/third-party-investors-offer-new-funding-source-for-major-commercial-lawsuits/.</w:t>
      </w:r>
    </w:p>
    <w:p w14:paraId="2CEB88D8"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Mabbett, Deborah. 2020. “Reckless Prudence: Financialization in UK Pension Scheme Governance after the Crisis.” </w:t>
      </w:r>
      <w:r w:rsidRPr="00C77ED2">
        <w:rPr>
          <w:rFonts w:ascii="Times New Roman" w:hAnsi="Times New Roman" w:cs="Times New Roman"/>
          <w:i/>
          <w:iCs/>
        </w:rPr>
        <w:t>Review of International Political Economy</w:t>
      </w:r>
      <w:r w:rsidRPr="00C77ED2">
        <w:rPr>
          <w:rFonts w:ascii="Times New Roman" w:hAnsi="Times New Roman" w:cs="Times New Roman"/>
        </w:rPr>
        <w:t>, April, 1–21. https://doi.org/10.1080/09692290.2020.1758187.</w:t>
      </w:r>
    </w:p>
    <w:p w14:paraId="62ED82A2"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Maxfield, Sylvia, W. Kindred Winecoff, and Kevin L. Young. 2017. “An Empirical Investigation of the Financialization Convergence Hypothesis.” </w:t>
      </w:r>
      <w:r w:rsidRPr="00C77ED2">
        <w:rPr>
          <w:rFonts w:ascii="Times New Roman" w:hAnsi="Times New Roman" w:cs="Times New Roman"/>
          <w:i/>
          <w:iCs/>
        </w:rPr>
        <w:t>Review of International Political Economy</w:t>
      </w:r>
      <w:r w:rsidRPr="00C77ED2">
        <w:rPr>
          <w:rFonts w:ascii="Times New Roman" w:hAnsi="Times New Roman" w:cs="Times New Roman"/>
        </w:rPr>
        <w:t xml:space="preserve"> 24 (6): 1004–1029.</w:t>
      </w:r>
    </w:p>
    <w:p w14:paraId="4CB97B9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McNamara, Kathleen R. 1998. </w:t>
      </w:r>
      <w:r w:rsidRPr="00C77ED2">
        <w:rPr>
          <w:rFonts w:ascii="Times New Roman" w:hAnsi="Times New Roman" w:cs="Times New Roman"/>
          <w:i/>
          <w:iCs/>
        </w:rPr>
        <w:t>The Currency of Ideas: Monetary Politics in the European Union</w:t>
      </w:r>
      <w:r w:rsidRPr="00C77ED2">
        <w:rPr>
          <w:rFonts w:ascii="Times New Roman" w:hAnsi="Times New Roman" w:cs="Times New Roman"/>
        </w:rPr>
        <w:t>. Cambridge Univ Press. http://journals.cambridge.org/production/action/cjoGetFulltext?fulltextid=6258388.</w:t>
      </w:r>
    </w:p>
    <w:p w14:paraId="02C6F134"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Nachmany, Michal, Sam Fankhauser, Joana Setzer, and Alina Averchenkova. 2017. “Global Trends in Climate Change Legislation and Litigation: 2017 Update.”</w:t>
      </w:r>
    </w:p>
    <w:p w14:paraId="252004D9"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Newman, Abraham L., and Elliot Posner. 2018. </w:t>
      </w:r>
      <w:r w:rsidRPr="00C77ED2">
        <w:rPr>
          <w:rFonts w:ascii="Times New Roman" w:hAnsi="Times New Roman" w:cs="Times New Roman"/>
          <w:i/>
          <w:iCs/>
        </w:rPr>
        <w:t>Voluntary Disruptions: International Soft Law, Finance, and Power</w:t>
      </w:r>
      <w:r w:rsidRPr="00C77ED2">
        <w:rPr>
          <w:rFonts w:ascii="Times New Roman" w:hAnsi="Times New Roman" w:cs="Times New Roman"/>
        </w:rPr>
        <w:t>. Oxford University Press.</w:t>
      </w:r>
    </w:p>
    <w:p w14:paraId="5866D21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Nölke, Andreas, and James Perry. 2007. “The Power of Transnational Private Governance: Financialization and the IASB.” </w:t>
      </w:r>
      <w:r w:rsidRPr="00C77ED2">
        <w:rPr>
          <w:rFonts w:ascii="Times New Roman" w:hAnsi="Times New Roman" w:cs="Times New Roman"/>
          <w:i/>
          <w:iCs/>
        </w:rPr>
        <w:t>Business and Politics</w:t>
      </w:r>
      <w:r w:rsidRPr="00C77ED2">
        <w:rPr>
          <w:rFonts w:ascii="Times New Roman" w:hAnsi="Times New Roman" w:cs="Times New Roman"/>
        </w:rPr>
        <w:t xml:space="preserve"> 9 (3): 1–25.</w:t>
      </w:r>
    </w:p>
    <w:p w14:paraId="7B95FA31"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Norton Rose Fulbright. 2016. “International Arbitration Report.” September 2016. http://www.nortonrosefulbright.com/files/international-arbitration-report-issue-7-142408.pdf.</w:t>
      </w:r>
    </w:p>
    <w:p w14:paraId="43AC1B18"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Pagliari, Stefano, Lauren M Phillips, and Kevin L Young. 2018. “The Financialization of Policy Preferences: Financial Asset Ownership, Regulation and Crisis Management.” </w:t>
      </w:r>
      <w:r w:rsidRPr="00C77ED2">
        <w:rPr>
          <w:rFonts w:ascii="Times New Roman" w:hAnsi="Times New Roman" w:cs="Times New Roman"/>
          <w:i/>
          <w:iCs/>
        </w:rPr>
        <w:t>Socio-Economic Review</w:t>
      </w:r>
      <w:r w:rsidRPr="00C77ED2">
        <w:rPr>
          <w:rFonts w:ascii="Times New Roman" w:hAnsi="Times New Roman" w:cs="Times New Roman"/>
        </w:rPr>
        <w:t>, July. https://doi.org/10.1093/ser/mwy027.</w:t>
      </w:r>
    </w:p>
    <w:p w14:paraId="3C9833C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Pagliari, Stefano, and K. Young. 2020. “How Financialization Is Reproduced Politically.” </w:t>
      </w:r>
      <w:r w:rsidRPr="00C77ED2">
        <w:rPr>
          <w:rFonts w:ascii="Times New Roman" w:hAnsi="Times New Roman" w:cs="Times New Roman"/>
          <w:i/>
          <w:iCs/>
        </w:rPr>
        <w:t>The Routledge International Handbook of Financialization</w:t>
      </w:r>
      <w:r w:rsidRPr="00C77ED2">
        <w:rPr>
          <w:rFonts w:ascii="Times New Roman" w:hAnsi="Times New Roman" w:cs="Times New Roman"/>
        </w:rPr>
        <w:t>.</w:t>
      </w:r>
    </w:p>
    <w:p w14:paraId="3606F46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Pelc, Krzysztof J. 2017. “What Explains the Low Success Rate of Investor-State Disputes?” </w:t>
      </w:r>
      <w:r w:rsidRPr="00C77ED2">
        <w:rPr>
          <w:rFonts w:ascii="Times New Roman" w:hAnsi="Times New Roman" w:cs="Times New Roman"/>
          <w:i/>
          <w:iCs/>
        </w:rPr>
        <w:t>International Organization</w:t>
      </w:r>
      <w:r w:rsidRPr="00C77ED2">
        <w:rPr>
          <w:rFonts w:ascii="Times New Roman" w:hAnsi="Times New Roman" w:cs="Times New Roman"/>
        </w:rPr>
        <w:t xml:space="preserve"> 71 (3): 559–583.</w:t>
      </w:r>
    </w:p>
    <w:p w14:paraId="43DB7D4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Pistor, Katharina. 2019. </w:t>
      </w:r>
      <w:r w:rsidRPr="00C77ED2">
        <w:rPr>
          <w:rFonts w:ascii="Times New Roman" w:hAnsi="Times New Roman" w:cs="Times New Roman"/>
          <w:i/>
          <w:iCs/>
        </w:rPr>
        <w:t>The Code of Capital: How the Law Creates Wealth and Inequality</w:t>
      </w:r>
      <w:r w:rsidRPr="00C77ED2">
        <w:rPr>
          <w:rFonts w:ascii="Times New Roman" w:hAnsi="Times New Roman" w:cs="Times New Roman"/>
        </w:rPr>
        <w:t>. Princeton University Press.</w:t>
      </w:r>
    </w:p>
    <w:p w14:paraId="5661961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Pouliot, Vincent. 2008. “The Logic of Practicality: A Theory of Practice of Security Communities.” </w:t>
      </w:r>
      <w:r w:rsidRPr="00C77ED2">
        <w:rPr>
          <w:rFonts w:ascii="Times New Roman" w:hAnsi="Times New Roman" w:cs="Times New Roman"/>
          <w:i/>
          <w:iCs/>
        </w:rPr>
        <w:t>International Organization</w:t>
      </w:r>
      <w:r w:rsidRPr="00C77ED2">
        <w:rPr>
          <w:rFonts w:ascii="Times New Roman" w:hAnsi="Times New Roman" w:cs="Times New Roman"/>
        </w:rPr>
        <w:t xml:space="preserve"> 62 (02): 257–288.</w:t>
      </w:r>
    </w:p>
    <w:p w14:paraId="78C7918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Roberts, Anthea, and Zeineb Bouraoui. 2018. “UNCITRAL and ISDS Reforms: Concerns about Costs, Transparency, Third Party Funding and Counterclaims.” </w:t>
      </w:r>
      <w:r w:rsidRPr="00C77ED2">
        <w:rPr>
          <w:rFonts w:ascii="Times New Roman" w:hAnsi="Times New Roman" w:cs="Times New Roman"/>
          <w:i/>
          <w:iCs/>
        </w:rPr>
        <w:t>EJIL: Talk!</w:t>
      </w:r>
      <w:r w:rsidRPr="00C77ED2">
        <w:rPr>
          <w:rFonts w:ascii="Times New Roman" w:hAnsi="Times New Roman" w:cs="Times New Roman"/>
        </w:rPr>
        <w:t xml:space="preserve"> (blog). June 6, 2018. https://www.ejiltalk.org/uncitral-and-isds-reforms-concerns-about-costs-transparency-third-party-funding-and-counterclaims/.</w:t>
      </w:r>
    </w:p>
    <w:p w14:paraId="1B27939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Sahlin, Kerstin, and Linda Wedlin. 2008. “Circulating Ideas: Imitation, Translation and Editing.” </w:t>
      </w:r>
      <w:r w:rsidRPr="00C77ED2">
        <w:rPr>
          <w:rFonts w:ascii="Times New Roman" w:hAnsi="Times New Roman" w:cs="Times New Roman"/>
          <w:i/>
          <w:iCs/>
        </w:rPr>
        <w:t>The Sage Handbook of Organizational Institutionalism</w:t>
      </w:r>
      <w:r w:rsidRPr="00C77ED2">
        <w:rPr>
          <w:rFonts w:ascii="Times New Roman" w:hAnsi="Times New Roman" w:cs="Times New Roman"/>
        </w:rPr>
        <w:t xml:space="preserve"> 218: 242.</w:t>
      </w:r>
    </w:p>
    <w:p w14:paraId="585682F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Santosuosso, Tara, and Randall Scarlett. 2018. “Third-Party Funding in Investment Arbitration: Misappropriation of Access to Justice Rhetoric by Global Speculative Finance.” </w:t>
      </w:r>
      <w:r w:rsidRPr="00C77ED2">
        <w:rPr>
          <w:rFonts w:ascii="Times New Roman" w:hAnsi="Times New Roman" w:cs="Times New Roman"/>
          <w:i/>
          <w:iCs/>
        </w:rPr>
        <w:t>Boston College Law School Law and Justice in the Americas Working Paper No. 8</w:t>
      </w:r>
      <w:r w:rsidRPr="00C77ED2">
        <w:rPr>
          <w:rFonts w:ascii="Times New Roman" w:hAnsi="Times New Roman" w:cs="Times New Roman"/>
        </w:rPr>
        <w:t>.</w:t>
      </w:r>
    </w:p>
    <w:p w14:paraId="09EA2508"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Seabrooke, Leonard, and Lasse Folke Henriksen. 2017. </w:t>
      </w:r>
      <w:r w:rsidRPr="00C77ED2">
        <w:rPr>
          <w:rFonts w:ascii="Times New Roman" w:hAnsi="Times New Roman" w:cs="Times New Roman"/>
          <w:i/>
          <w:iCs/>
        </w:rPr>
        <w:t>Professional Networks in Transnational Governance</w:t>
      </w:r>
      <w:r w:rsidRPr="00C77ED2">
        <w:rPr>
          <w:rFonts w:ascii="Times New Roman" w:hAnsi="Times New Roman" w:cs="Times New Roman"/>
        </w:rPr>
        <w:t>. Cambridge University Press.</w:t>
      </w:r>
    </w:p>
    <w:p w14:paraId="769B505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lastRenderedPageBreak/>
        <w:t>Seabrooke, Leonard, and Eleni Tsingou. 2009. “Revolving Doors and Linked Ecologies in the World Economy: Policy Locations and the Practice of International Financial Reform.” http://wrap.warwick.ac.uk/1849.</w:t>
      </w:r>
    </w:p>
    <w:p w14:paraId="3F65E86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Segal, David. 2018. “A Russian Oligarch’s $500 Million Yacht Is in the Middle of Britain’s Costliest Divorce.” </w:t>
      </w:r>
      <w:r w:rsidRPr="00C77ED2">
        <w:rPr>
          <w:rFonts w:ascii="Times New Roman" w:hAnsi="Times New Roman" w:cs="Times New Roman"/>
          <w:i/>
          <w:iCs/>
        </w:rPr>
        <w:t>The New York Times</w:t>
      </w:r>
      <w:r w:rsidRPr="00C77ED2">
        <w:rPr>
          <w:rFonts w:ascii="Times New Roman" w:hAnsi="Times New Roman" w:cs="Times New Roman"/>
        </w:rPr>
        <w:t>, June 14, 2018, sec. Business Day. https://www.nytimes.com/2018/06/06/business/britain-divorce-farkhad-akhmedov.html.</w:t>
      </w:r>
    </w:p>
    <w:p w14:paraId="4392A119"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Sending, Ole Jacob. 2015. </w:t>
      </w:r>
      <w:r w:rsidRPr="00C77ED2">
        <w:rPr>
          <w:rFonts w:ascii="Times New Roman" w:hAnsi="Times New Roman" w:cs="Times New Roman"/>
          <w:i/>
          <w:iCs/>
        </w:rPr>
        <w:t>The Politics of Expertise: Competing for Authority in Global Governance</w:t>
      </w:r>
      <w:r w:rsidRPr="00C77ED2">
        <w:rPr>
          <w:rFonts w:ascii="Times New Roman" w:hAnsi="Times New Roman" w:cs="Times New Roman"/>
        </w:rPr>
        <w:t>. University of Michigan Press.</w:t>
      </w:r>
    </w:p>
    <w:p w14:paraId="6B3B0D74"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Sharp, Geoff, and Bill Marsh. 2017. “A New Seat at the Mediation Table? The Impact of Third-Party Funding on the Mediation Process (Part 2).” </w:t>
      </w:r>
      <w:r w:rsidRPr="00C77ED2">
        <w:rPr>
          <w:rFonts w:ascii="Times New Roman" w:hAnsi="Times New Roman" w:cs="Times New Roman"/>
          <w:i/>
          <w:iCs/>
        </w:rPr>
        <w:t>Kluwer Mediation Blog</w:t>
      </w:r>
      <w:r w:rsidRPr="00C77ED2">
        <w:rPr>
          <w:rFonts w:ascii="Times New Roman" w:hAnsi="Times New Roman" w:cs="Times New Roman"/>
        </w:rPr>
        <w:t xml:space="preserve"> (blog). April 1, 2017. http://mediationblog.kluwerarbitration.com/2017/04/01/7498/.</w:t>
      </w:r>
    </w:p>
    <w:p w14:paraId="537FFF0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Sheridan, Jacqueline. 2016. “Champerty and Maintenance in the Modern Era.” Dinsmore &amp; Shohl LLP. January 22, 2016. https://www.dinsmore.com/publications/champerty-and-maintenance-in-the-modern-era/.</w:t>
      </w:r>
    </w:p>
    <w:p w14:paraId="70674199"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St John, Taylor. 2018. </w:t>
      </w:r>
      <w:r w:rsidRPr="00C77ED2">
        <w:rPr>
          <w:rFonts w:ascii="Times New Roman" w:hAnsi="Times New Roman" w:cs="Times New Roman"/>
          <w:i/>
          <w:iCs/>
        </w:rPr>
        <w:t>The Rise of Investor-State Arbitration: Politics, Law, and Unintended Consequences</w:t>
      </w:r>
      <w:r w:rsidRPr="00C77ED2">
        <w:rPr>
          <w:rFonts w:ascii="Times New Roman" w:hAnsi="Times New Roman" w:cs="Times New Roman"/>
        </w:rPr>
        <w:t>. Oxford University Press.</w:t>
      </w:r>
    </w:p>
    <w:p w14:paraId="444C822B"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Steinitz, Maya. 2010. “Whose Claim Is This Anyway-Third-Party Litigation Funding.” </w:t>
      </w:r>
      <w:r w:rsidRPr="00C77ED2">
        <w:rPr>
          <w:rFonts w:ascii="Times New Roman" w:hAnsi="Times New Roman" w:cs="Times New Roman"/>
          <w:i/>
          <w:iCs/>
        </w:rPr>
        <w:t>Minn. L. Rev.</w:t>
      </w:r>
      <w:r w:rsidRPr="00C77ED2">
        <w:rPr>
          <w:rFonts w:ascii="Times New Roman" w:hAnsi="Times New Roman" w:cs="Times New Roman"/>
        </w:rPr>
        <w:t xml:space="preserve"> 95: 1268.</w:t>
      </w:r>
    </w:p>
    <w:p w14:paraId="462A8190"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Strickler, Andrew. 2017. “Why Investors Are Taking the Leap to 3-Rd Party Funding.” </w:t>
      </w:r>
      <w:r w:rsidRPr="00C77ED2">
        <w:rPr>
          <w:rFonts w:ascii="Times New Roman" w:hAnsi="Times New Roman" w:cs="Times New Roman"/>
          <w:i/>
          <w:iCs/>
        </w:rPr>
        <w:t>Law360</w:t>
      </w:r>
      <w:r w:rsidRPr="00C77ED2">
        <w:rPr>
          <w:rFonts w:ascii="Times New Roman" w:hAnsi="Times New Roman" w:cs="Times New Roman"/>
        </w:rPr>
        <w:t>, December 11, 2017.</w:t>
      </w:r>
    </w:p>
    <w:p w14:paraId="67B95843"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Tucker, Todd N. 2018. </w:t>
      </w:r>
      <w:r w:rsidRPr="00C77ED2">
        <w:rPr>
          <w:rFonts w:ascii="Times New Roman" w:hAnsi="Times New Roman" w:cs="Times New Roman"/>
          <w:i/>
          <w:iCs/>
        </w:rPr>
        <w:t>Judge Knot: Politics and Development in International Investment Law</w:t>
      </w:r>
      <w:r w:rsidRPr="00C77ED2">
        <w:rPr>
          <w:rFonts w:ascii="Times New Roman" w:hAnsi="Times New Roman" w:cs="Times New Roman"/>
        </w:rPr>
        <w:t>. Anthem Press.</w:t>
      </w:r>
    </w:p>
    <w:p w14:paraId="4C7BF235"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Weaver, Catherine. 2008. </w:t>
      </w:r>
      <w:r w:rsidRPr="00C77ED2">
        <w:rPr>
          <w:rFonts w:ascii="Times New Roman" w:hAnsi="Times New Roman" w:cs="Times New Roman"/>
          <w:i/>
          <w:iCs/>
        </w:rPr>
        <w:t>Hypocrisy Trap: The World Bank and the Poverty of Reform</w:t>
      </w:r>
      <w:r w:rsidRPr="00C77ED2">
        <w:rPr>
          <w:rFonts w:ascii="Times New Roman" w:hAnsi="Times New Roman" w:cs="Times New Roman"/>
        </w:rPr>
        <w:t>. Princeton University Press.</w:t>
      </w:r>
    </w:p>
    <w:p w14:paraId="4A07BC5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Wellhausen, Rachel L. 2019. “International Investment Law and Foreign Direct Reinvestment.” </w:t>
      </w:r>
      <w:r w:rsidRPr="00C77ED2">
        <w:rPr>
          <w:rFonts w:ascii="Times New Roman" w:hAnsi="Times New Roman" w:cs="Times New Roman"/>
          <w:i/>
          <w:iCs/>
        </w:rPr>
        <w:t>International Organization</w:t>
      </w:r>
      <w:r w:rsidRPr="00C77ED2">
        <w:rPr>
          <w:rFonts w:ascii="Times New Roman" w:hAnsi="Times New Roman" w:cs="Times New Roman"/>
        </w:rPr>
        <w:t xml:space="preserve"> 73 (4): 839–858.</w:t>
      </w:r>
    </w:p>
    <w:p w14:paraId="25D1FED9"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Whytock, Christopher A. 2009. “Domestic Courts and Global Governance.” </w:t>
      </w:r>
      <w:r w:rsidRPr="00C77ED2">
        <w:rPr>
          <w:rFonts w:ascii="Times New Roman" w:hAnsi="Times New Roman" w:cs="Times New Roman"/>
          <w:i/>
          <w:iCs/>
        </w:rPr>
        <w:t>Tul. L. Rev.</w:t>
      </w:r>
      <w:r w:rsidRPr="00C77ED2">
        <w:rPr>
          <w:rFonts w:ascii="Times New Roman" w:hAnsi="Times New Roman" w:cs="Times New Roman"/>
        </w:rPr>
        <w:t xml:space="preserve"> 84: 67.</w:t>
      </w:r>
    </w:p>
    <w:p w14:paraId="042A941E"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Witko, Christopher. 2016. “The Politics of Financialization in the United States, 1949–2005.” </w:t>
      </w:r>
      <w:r w:rsidRPr="00C77ED2">
        <w:rPr>
          <w:rFonts w:ascii="Times New Roman" w:hAnsi="Times New Roman" w:cs="Times New Roman"/>
          <w:i/>
          <w:iCs/>
        </w:rPr>
        <w:t>British Journal of Political Science</w:t>
      </w:r>
      <w:r w:rsidRPr="00C77ED2">
        <w:rPr>
          <w:rFonts w:ascii="Times New Roman" w:hAnsi="Times New Roman" w:cs="Times New Roman"/>
        </w:rPr>
        <w:t xml:space="preserve"> 46 (02): 349–370.</w:t>
      </w:r>
    </w:p>
    <w:p w14:paraId="7080E8BC"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Zietsma, Charlene, Peter Groenewegen, Danielle M. Logue, and C. R. (Bob) Hinings. 2017. “Field or Fields? Building the Scaffolding for Cumulation of Research on Institutional Fields.” </w:t>
      </w:r>
      <w:r w:rsidRPr="00C77ED2">
        <w:rPr>
          <w:rFonts w:ascii="Times New Roman" w:hAnsi="Times New Roman" w:cs="Times New Roman"/>
          <w:i/>
          <w:iCs/>
        </w:rPr>
        <w:t>Academy of Management Annals</w:t>
      </w:r>
      <w:r w:rsidRPr="00C77ED2">
        <w:rPr>
          <w:rFonts w:ascii="Times New Roman" w:hAnsi="Times New Roman" w:cs="Times New Roman"/>
        </w:rPr>
        <w:t xml:space="preserve"> 11 (1): 391–450. https://doi.org/10.5465/annals.2014.0052.</w:t>
      </w:r>
    </w:p>
    <w:p w14:paraId="1C6D6A16" w14:textId="77777777" w:rsidR="00C77ED2" w:rsidRPr="00C77ED2" w:rsidRDefault="00C77ED2" w:rsidP="00C77ED2">
      <w:pPr>
        <w:pStyle w:val="Bibliography"/>
        <w:rPr>
          <w:rFonts w:ascii="Times New Roman" w:hAnsi="Times New Roman" w:cs="Times New Roman"/>
        </w:rPr>
      </w:pPr>
      <w:r w:rsidRPr="00C77ED2">
        <w:rPr>
          <w:rFonts w:ascii="Times New Roman" w:hAnsi="Times New Roman" w:cs="Times New Roman"/>
        </w:rPr>
        <w:t xml:space="preserve">Zorn, Dirk M. 2004. “Here a Chief, There a Chief: The Rise of the CFO in the American Firm.” </w:t>
      </w:r>
      <w:r w:rsidRPr="00C77ED2">
        <w:rPr>
          <w:rFonts w:ascii="Times New Roman" w:hAnsi="Times New Roman" w:cs="Times New Roman"/>
          <w:i/>
          <w:iCs/>
        </w:rPr>
        <w:t>American Sociological Review</w:t>
      </w:r>
      <w:r w:rsidRPr="00C77ED2">
        <w:rPr>
          <w:rFonts w:ascii="Times New Roman" w:hAnsi="Times New Roman" w:cs="Times New Roman"/>
        </w:rPr>
        <w:t xml:space="preserve"> 69 (3): 345–364.</w:t>
      </w:r>
    </w:p>
    <w:p w14:paraId="777BC691" w14:textId="16D98B93" w:rsidR="00ED76EB" w:rsidRPr="003A37FF" w:rsidRDefault="00ED76EB" w:rsidP="00095C28">
      <w:pPr>
        <w:pStyle w:val="Bibliography"/>
        <w:rPr>
          <w:rFonts w:ascii="Times New Roman" w:hAnsi="Times New Roman" w:cs="Times New Roman"/>
        </w:rPr>
      </w:pPr>
      <w:r w:rsidRPr="003A37FF">
        <w:rPr>
          <w:rFonts w:ascii="Times New Roman" w:hAnsi="Times New Roman" w:cs="Times New Roman"/>
        </w:rPr>
        <w:fldChar w:fldCharType="end"/>
      </w:r>
    </w:p>
    <w:sectPr w:rsidR="00ED76EB" w:rsidRPr="003A37FF" w:rsidSect="00812EDF">
      <w:footerReference w:type="even" r:id="rId13"/>
      <w:footerReference w:type="default" r:id="rId14"/>
      <w:pgSz w:w="12240" w:h="15840"/>
      <w:pgMar w:top="1440" w:right="1440" w:bottom="1440" w:left="1440" w:header="720" w:footer="720" w:gutter="0"/>
      <w:pgNumType w:start="2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58ABA" w14:textId="77777777" w:rsidR="004E110E" w:rsidRDefault="004E110E" w:rsidP="00514FD0">
      <w:r>
        <w:separator/>
      </w:r>
    </w:p>
  </w:endnote>
  <w:endnote w:type="continuationSeparator" w:id="0">
    <w:p w14:paraId="5B942A52" w14:textId="77777777" w:rsidR="004E110E" w:rsidRDefault="004E110E" w:rsidP="00514FD0">
      <w:r>
        <w:continuationSeparator/>
      </w:r>
    </w:p>
  </w:endnote>
  <w:endnote w:id="1">
    <w:p w14:paraId="67597FF3" w14:textId="6A4DA84F" w:rsidR="00A46DAD" w:rsidRPr="00A46DAD" w:rsidRDefault="00A46DAD">
      <w:pPr>
        <w:pStyle w:val="EndnoteText"/>
        <w:rPr>
          <w:sz w:val="24"/>
          <w:szCs w:val="24"/>
        </w:rPr>
      </w:pPr>
      <w:r w:rsidRPr="00A46DAD">
        <w:rPr>
          <w:rStyle w:val="EndnoteReference"/>
          <w:sz w:val="24"/>
          <w:szCs w:val="24"/>
        </w:rPr>
        <w:endnoteRef/>
      </w:r>
      <w:r w:rsidRPr="00A46DAD">
        <w:rPr>
          <w:sz w:val="24"/>
          <w:szCs w:val="24"/>
        </w:rPr>
        <w:t xml:space="preserve"> For detailed histories of the investment regime see St. John (2018), Tucker (2018).</w:t>
      </w:r>
    </w:p>
  </w:endnote>
  <w:endnote w:id="2">
    <w:p w14:paraId="388D0432" w14:textId="100E6543" w:rsidR="00A46DAD" w:rsidRPr="00A46DAD" w:rsidRDefault="00A46DAD">
      <w:pPr>
        <w:pStyle w:val="EndnoteText"/>
        <w:rPr>
          <w:sz w:val="24"/>
          <w:szCs w:val="24"/>
        </w:rPr>
      </w:pPr>
      <w:r w:rsidRPr="00A46DAD">
        <w:rPr>
          <w:rStyle w:val="EndnoteReference"/>
          <w:sz w:val="24"/>
          <w:szCs w:val="24"/>
        </w:rPr>
        <w:endnoteRef/>
      </w:r>
      <w:r w:rsidRPr="00A46DAD">
        <w:rPr>
          <w:sz w:val="24"/>
          <w:szCs w:val="24"/>
        </w:rPr>
        <w:t xml:space="preserve"> See Johns et al. </w:t>
      </w:r>
      <w:r w:rsidRPr="00A46DAD">
        <w:rPr>
          <w:sz w:val="24"/>
          <w:szCs w:val="24"/>
        </w:rPr>
        <w:fldChar w:fldCharType="begin"/>
      </w:r>
      <w:r w:rsidRPr="00A46DAD">
        <w:rPr>
          <w:sz w:val="24"/>
          <w:szCs w:val="24"/>
        </w:rPr>
        <w:instrText xml:space="preserve"> ADDIN ZOTERO_ITEM CSL_CITATION {"citationID":"JHjHjC6Y","properties":{"formattedCitation":"(2019)","plainCitation":"(2019)","noteIndex":2},"citationItems":[{"id":5080,"uris":["http://zotero.org/users/local/oXQBh7r1/items/E7XAC5DR"],"uri":["http://zotero.org/users/local/oXQBh7r1/items/E7XAC5DR"],"itemData":{"id":5080,"type":"report","publisher":"Working paper","source":"Google Scholar","title":"Judicial Economy and Moving Bars in International Investment Arbitration","author":[{"family":"Johns","given":"Leslie"},{"family":"Thrall","given":"Calvin"},{"family":"Wellhausen","given":"Rachel L."}],"issued":{"date-parts":[["2019"]]}},"suppress-author":true}],"schema":"https://github.com/citation-style-language/schema/raw/master/csl-citation.json"} </w:instrText>
      </w:r>
      <w:r w:rsidRPr="00A46DAD">
        <w:rPr>
          <w:sz w:val="24"/>
          <w:szCs w:val="24"/>
        </w:rPr>
        <w:fldChar w:fldCharType="separate"/>
      </w:r>
      <w:r w:rsidRPr="00A46DAD">
        <w:rPr>
          <w:noProof/>
          <w:sz w:val="24"/>
          <w:szCs w:val="24"/>
        </w:rPr>
        <w:t>(2019)</w:t>
      </w:r>
      <w:r w:rsidRPr="00A46DAD">
        <w:rPr>
          <w:sz w:val="24"/>
          <w:szCs w:val="24"/>
        </w:rPr>
        <w:fldChar w:fldCharType="end"/>
      </w:r>
      <w:r w:rsidRPr="00A46DAD">
        <w:rPr>
          <w:sz w:val="24"/>
          <w:szCs w:val="24"/>
        </w:rPr>
        <w:t xml:space="preserve"> for the difficulties in assessing the legal merits of cases.  </w:t>
      </w:r>
    </w:p>
  </w:endnote>
  <w:endnote w:id="3">
    <w:p w14:paraId="7AB5F38A" w14:textId="2911E9DE" w:rsidR="00A46DAD" w:rsidRPr="00A46DAD" w:rsidRDefault="00A46DAD" w:rsidP="00D17778">
      <w:r w:rsidRPr="00A46DAD">
        <w:rPr>
          <w:rStyle w:val="EndnoteReference"/>
        </w:rPr>
        <w:endnoteRef/>
      </w:r>
      <w:r w:rsidRPr="00A46DAD">
        <w:t xml:space="preserve"> Author calculations based on data compiled by the Boston College Law School’s Working Group on Investment Reform, available at https://bit.ly/2LP9exA. Further details on the examples in this paragraph can be found at the same website.</w:t>
      </w:r>
    </w:p>
  </w:endnote>
  <w:endnote w:id="4">
    <w:p w14:paraId="0EA7C3EA" w14:textId="6789B79B" w:rsidR="00A46DAD" w:rsidRPr="00A46DAD" w:rsidRDefault="00A46DAD" w:rsidP="007E3DDF">
      <w:pPr>
        <w:pStyle w:val="EndnoteText"/>
        <w:rPr>
          <w:sz w:val="24"/>
          <w:szCs w:val="24"/>
        </w:rPr>
      </w:pPr>
      <w:r w:rsidRPr="00A46DAD">
        <w:rPr>
          <w:rStyle w:val="EndnoteReference"/>
          <w:sz w:val="24"/>
          <w:szCs w:val="24"/>
        </w:rPr>
        <w:endnoteRef/>
      </w:r>
      <w:r w:rsidRPr="00A46DAD">
        <w:rPr>
          <w:sz w:val="24"/>
          <w:szCs w:val="24"/>
        </w:rPr>
        <w:t xml:space="preserve"> For an overview of recent TPF regulatory changes by major legal centers see Brekoulakis and Rogers </w:t>
      </w:r>
      <w:r w:rsidRPr="00A46DAD">
        <w:rPr>
          <w:sz w:val="24"/>
          <w:szCs w:val="24"/>
        </w:rPr>
        <w:fldChar w:fldCharType="begin"/>
      </w:r>
      <w:r w:rsidRPr="00A46DAD">
        <w:rPr>
          <w:sz w:val="24"/>
          <w:szCs w:val="24"/>
        </w:rPr>
        <w:instrText xml:space="preserve"> ADDIN ZOTERO_ITEM CSL_CITATION {"citationID":"S41PRgMr","properties":{"formattedCitation":"(2019, 2\\uc0\\u8211{}5)","plainCitation":"(2019, 2–5)","noteIndex":4},"citationItems":[{"id":5164,"uris":["http://zotero.org/users/local/oXQBh7r1/items/S3DXHDI8"],"uri":["http://zotero.org/users/local/oXQBh7r1/items/S3DXHDI8"],"itemData":{"id":5164,"type":"report","collection-title":"Academic Forum on ISDS Concept Paper 2019/11","number":"Version 2","title":"Third Party Financing in ISDS A Framework for Understanding Practice and Policy Regarding Third-Party Financing in ISDS","author":[{"family":"Brekoulakis","given":"Stavros"},{"family":"Rogers","given":"Catherine"}],"issued":{"date-parts":[["2019",7,31]]}},"locator":"2-5","label":"page","suppress-author":true}],"schema":"https://github.com/citation-style-language/schema/raw/master/csl-citation.json"} </w:instrText>
      </w:r>
      <w:r w:rsidRPr="00A46DAD">
        <w:rPr>
          <w:sz w:val="24"/>
          <w:szCs w:val="24"/>
        </w:rPr>
        <w:fldChar w:fldCharType="separate"/>
      </w:r>
      <w:r w:rsidRPr="00A46DAD">
        <w:rPr>
          <w:sz w:val="24"/>
          <w:szCs w:val="24"/>
        </w:rPr>
        <w:t>(2019, 2–5)</w:t>
      </w:r>
      <w:r w:rsidRPr="00A46DAD">
        <w:rPr>
          <w:sz w:val="24"/>
          <w:szCs w:val="24"/>
        </w:rPr>
        <w:fldChar w:fldCharType="end"/>
      </w:r>
    </w:p>
  </w:endnote>
  <w:endnote w:id="5">
    <w:p w14:paraId="0502C79A" w14:textId="77777777" w:rsidR="00A46DAD" w:rsidRPr="003A37FF" w:rsidRDefault="00A46DAD" w:rsidP="00FA0B49">
      <w:pPr>
        <w:pStyle w:val="EndnoteText"/>
      </w:pPr>
      <w:r w:rsidRPr="00A46DAD">
        <w:rPr>
          <w:rStyle w:val="EndnoteReference"/>
          <w:sz w:val="24"/>
          <w:szCs w:val="24"/>
        </w:rPr>
        <w:endnoteRef/>
      </w:r>
      <w:r w:rsidRPr="00A46DAD">
        <w:rPr>
          <w:sz w:val="24"/>
          <w:szCs w:val="24"/>
        </w:rPr>
        <w:t xml:space="preserve"> Guve and Johnson (2019, 5-6) identify 16 different metrics that funders use to assess investment value of any given case.</w:t>
      </w:r>
      <w:r w:rsidRPr="003A37FF">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2BF65" w14:textId="77777777" w:rsidR="00A46DAD" w:rsidRDefault="00A46DAD" w:rsidP="00812ED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1A57ABB" w14:textId="77777777" w:rsidR="00A46DAD" w:rsidRDefault="00A46DAD" w:rsidP="008645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9DCB5" w14:textId="77777777" w:rsidR="00A46DAD" w:rsidRPr="00EF6D02" w:rsidRDefault="00A46DAD" w:rsidP="00812EDF">
    <w:pPr>
      <w:pStyle w:val="Footer"/>
      <w:framePr w:wrap="none" w:vAnchor="text" w:hAnchor="margin" w:xAlign="right" w:y="1"/>
      <w:rPr>
        <w:rStyle w:val="PageNumber"/>
        <w:rFonts w:ascii="Times New Roman" w:hAnsi="Times New Roman" w:cs="Times New Roman"/>
      </w:rPr>
    </w:pPr>
    <w:r w:rsidRPr="00EF6D02">
      <w:rPr>
        <w:rStyle w:val="PageNumber"/>
        <w:rFonts w:ascii="Times New Roman" w:hAnsi="Times New Roman" w:cs="Times New Roman"/>
      </w:rPr>
      <w:fldChar w:fldCharType="begin"/>
    </w:r>
    <w:r w:rsidRPr="00EF6D02">
      <w:rPr>
        <w:rStyle w:val="PageNumber"/>
        <w:rFonts w:ascii="Times New Roman" w:hAnsi="Times New Roman" w:cs="Times New Roman"/>
      </w:rPr>
      <w:instrText xml:space="preserve">PAGE  </w:instrText>
    </w:r>
    <w:r w:rsidRPr="00EF6D02">
      <w:rPr>
        <w:rStyle w:val="PageNumber"/>
        <w:rFonts w:ascii="Times New Roman" w:hAnsi="Times New Roman" w:cs="Times New Roman"/>
      </w:rPr>
      <w:fldChar w:fldCharType="separate"/>
    </w:r>
    <w:r w:rsidRPr="00EF6D02">
      <w:rPr>
        <w:rStyle w:val="PageNumber"/>
        <w:rFonts w:ascii="Times New Roman" w:hAnsi="Times New Roman" w:cs="Times New Roman"/>
        <w:noProof/>
      </w:rPr>
      <w:t>2</w:t>
    </w:r>
    <w:r w:rsidRPr="00EF6D02">
      <w:rPr>
        <w:rStyle w:val="PageNumber"/>
        <w:rFonts w:ascii="Times New Roman" w:hAnsi="Times New Roman" w:cs="Times New Roman"/>
      </w:rPr>
      <w:fldChar w:fldCharType="end"/>
    </w:r>
  </w:p>
  <w:p w14:paraId="77E4E6A4" w14:textId="77777777" w:rsidR="00A46DAD" w:rsidRPr="00EF6D02" w:rsidRDefault="00A46DAD" w:rsidP="00864568">
    <w:pPr>
      <w:pStyle w:val="Footer"/>
      <w:ind w:right="360"/>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60CC7" w14:textId="77777777" w:rsidR="00A46DAD" w:rsidRDefault="00A46DAD" w:rsidP="00812ED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28A56F0" w14:textId="77777777" w:rsidR="00A46DAD" w:rsidRDefault="00A46DAD" w:rsidP="00864568">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C98A7" w14:textId="77777777" w:rsidR="00A46DAD" w:rsidRPr="00EF6D02" w:rsidRDefault="00A46DAD" w:rsidP="00812EDF">
    <w:pPr>
      <w:pStyle w:val="Footer"/>
      <w:framePr w:wrap="none" w:vAnchor="text" w:hAnchor="margin" w:xAlign="right" w:y="1"/>
      <w:rPr>
        <w:rStyle w:val="PageNumber"/>
        <w:rFonts w:ascii="Times New Roman" w:hAnsi="Times New Roman" w:cs="Times New Roman"/>
      </w:rPr>
    </w:pPr>
    <w:r w:rsidRPr="00EF6D02">
      <w:rPr>
        <w:rStyle w:val="PageNumber"/>
        <w:rFonts w:ascii="Times New Roman" w:hAnsi="Times New Roman" w:cs="Times New Roman"/>
      </w:rPr>
      <w:fldChar w:fldCharType="begin"/>
    </w:r>
    <w:r w:rsidRPr="00EF6D02">
      <w:rPr>
        <w:rStyle w:val="PageNumber"/>
        <w:rFonts w:ascii="Times New Roman" w:hAnsi="Times New Roman" w:cs="Times New Roman"/>
      </w:rPr>
      <w:instrText xml:space="preserve">PAGE  </w:instrText>
    </w:r>
    <w:r w:rsidRPr="00EF6D02">
      <w:rPr>
        <w:rStyle w:val="PageNumber"/>
        <w:rFonts w:ascii="Times New Roman" w:hAnsi="Times New Roman" w:cs="Times New Roman"/>
      </w:rPr>
      <w:fldChar w:fldCharType="separate"/>
    </w:r>
    <w:r w:rsidRPr="00EF6D02">
      <w:rPr>
        <w:rStyle w:val="PageNumber"/>
        <w:rFonts w:ascii="Times New Roman" w:hAnsi="Times New Roman" w:cs="Times New Roman"/>
        <w:noProof/>
      </w:rPr>
      <w:t>2</w:t>
    </w:r>
    <w:r w:rsidRPr="00EF6D02">
      <w:rPr>
        <w:rStyle w:val="PageNumber"/>
        <w:rFonts w:ascii="Times New Roman" w:hAnsi="Times New Roman" w:cs="Times New Roman"/>
      </w:rPr>
      <w:fldChar w:fldCharType="end"/>
    </w:r>
  </w:p>
  <w:p w14:paraId="26571BA7" w14:textId="77777777" w:rsidR="00A46DAD" w:rsidRPr="00EF6D02" w:rsidRDefault="00A46DAD" w:rsidP="00864568">
    <w:pPr>
      <w:pStyle w:val="Footer"/>
      <w:ind w:right="360"/>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DBE36A" w14:textId="77777777" w:rsidR="004E110E" w:rsidRDefault="004E110E" w:rsidP="00514FD0">
      <w:r>
        <w:separator/>
      </w:r>
    </w:p>
  </w:footnote>
  <w:footnote w:type="continuationSeparator" w:id="0">
    <w:p w14:paraId="33939FAC" w14:textId="77777777" w:rsidR="004E110E" w:rsidRDefault="004E110E" w:rsidP="00514F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C50EE7"/>
    <w:multiLevelType w:val="hybridMultilevel"/>
    <w:tmpl w:val="0780156C"/>
    <w:lvl w:ilvl="0" w:tplc="EC540CD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E3D0887"/>
    <w:multiLevelType w:val="hybridMultilevel"/>
    <w:tmpl w:val="31B65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91734D"/>
    <w:multiLevelType w:val="hybridMultilevel"/>
    <w:tmpl w:val="10BC4700"/>
    <w:lvl w:ilvl="0" w:tplc="7EC01B00">
      <w:start w:val="4"/>
      <w:numFmt w:val="bullet"/>
      <w:lvlText w:val="-"/>
      <w:lvlJc w:val="left"/>
      <w:pPr>
        <w:ind w:left="72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245514"/>
    <w:multiLevelType w:val="hybridMultilevel"/>
    <w:tmpl w:val="ECCABB6A"/>
    <w:lvl w:ilvl="0" w:tplc="C37E5B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140851"/>
    <w:multiLevelType w:val="hybridMultilevel"/>
    <w:tmpl w:val="ECCABB6A"/>
    <w:lvl w:ilvl="0" w:tplc="C37E5B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7B0A6C"/>
    <w:multiLevelType w:val="hybridMultilevel"/>
    <w:tmpl w:val="9B7A1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8E3333"/>
    <w:multiLevelType w:val="hybridMultilevel"/>
    <w:tmpl w:val="6E0AE038"/>
    <w:lvl w:ilvl="0" w:tplc="E64EC190">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6806FB7"/>
    <w:multiLevelType w:val="hybridMultilevel"/>
    <w:tmpl w:val="AA446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7"/>
  </w:num>
  <w:num w:numId="5">
    <w:abstractNumId w:val="5"/>
  </w:num>
  <w:num w:numId="6">
    <w:abstractNumId w:val="1"/>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2BF"/>
    <w:rsid w:val="0000186C"/>
    <w:rsid w:val="00007B66"/>
    <w:rsid w:val="000216BB"/>
    <w:rsid w:val="0002686B"/>
    <w:rsid w:val="00043CDF"/>
    <w:rsid w:val="00046008"/>
    <w:rsid w:val="00050BB1"/>
    <w:rsid w:val="000525F5"/>
    <w:rsid w:val="00053B78"/>
    <w:rsid w:val="000633F4"/>
    <w:rsid w:val="0006716B"/>
    <w:rsid w:val="00070953"/>
    <w:rsid w:val="00072C5A"/>
    <w:rsid w:val="000801F8"/>
    <w:rsid w:val="00081BC3"/>
    <w:rsid w:val="00093A4F"/>
    <w:rsid w:val="00094024"/>
    <w:rsid w:val="0009599D"/>
    <w:rsid w:val="00095C28"/>
    <w:rsid w:val="000A12FB"/>
    <w:rsid w:val="000A32E4"/>
    <w:rsid w:val="000A4695"/>
    <w:rsid w:val="000A671A"/>
    <w:rsid w:val="000A6FFD"/>
    <w:rsid w:val="000B1342"/>
    <w:rsid w:val="000C3CB1"/>
    <w:rsid w:val="000C4219"/>
    <w:rsid w:val="000D22CD"/>
    <w:rsid w:val="000D3126"/>
    <w:rsid w:val="000D7B4A"/>
    <w:rsid w:val="000E1387"/>
    <w:rsid w:val="000E1FE0"/>
    <w:rsid w:val="000F3FF9"/>
    <w:rsid w:val="000F6838"/>
    <w:rsid w:val="00101D7A"/>
    <w:rsid w:val="00105775"/>
    <w:rsid w:val="00113A85"/>
    <w:rsid w:val="00121BD4"/>
    <w:rsid w:val="00125025"/>
    <w:rsid w:val="00130209"/>
    <w:rsid w:val="00137F1D"/>
    <w:rsid w:val="00150E68"/>
    <w:rsid w:val="001510E9"/>
    <w:rsid w:val="0015111B"/>
    <w:rsid w:val="001535F5"/>
    <w:rsid w:val="00165888"/>
    <w:rsid w:val="0016789C"/>
    <w:rsid w:val="00167C71"/>
    <w:rsid w:val="00167E1A"/>
    <w:rsid w:val="00185A44"/>
    <w:rsid w:val="00185C06"/>
    <w:rsid w:val="00193A0E"/>
    <w:rsid w:val="00194C96"/>
    <w:rsid w:val="001A16E1"/>
    <w:rsid w:val="001B2E01"/>
    <w:rsid w:val="001C6824"/>
    <w:rsid w:val="001D2F7D"/>
    <w:rsid w:val="001D34D1"/>
    <w:rsid w:val="001D6EB7"/>
    <w:rsid w:val="001E33FA"/>
    <w:rsid w:val="001E570E"/>
    <w:rsid w:val="001E792F"/>
    <w:rsid w:val="002001BB"/>
    <w:rsid w:val="00205E48"/>
    <w:rsid w:val="0020782F"/>
    <w:rsid w:val="00210682"/>
    <w:rsid w:val="00211AD8"/>
    <w:rsid w:val="002343CC"/>
    <w:rsid w:val="00235844"/>
    <w:rsid w:val="00243B70"/>
    <w:rsid w:val="002463BF"/>
    <w:rsid w:val="00253CF5"/>
    <w:rsid w:val="00254096"/>
    <w:rsid w:val="002604B9"/>
    <w:rsid w:val="00261479"/>
    <w:rsid w:val="00265E21"/>
    <w:rsid w:val="00271AD0"/>
    <w:rsid w:val="00274629"/>
    <w:rsid w:val="00275A72"/>
    <w:rsid w:val="00275ABB"/>
    <w:rsid w:val="00276067"/>
    <w:rsid w:val="00277A23"/>
    <w:rsid w:val="00283122"/>
    <w:rsid w:val="00284214"/>
    <w:rsid w:val="00286E90"/>
    <w:rsid w:val="002902CD"/>
    <w:rsid w:val="0029672C"/>
    <w:rsid w:val="00296EE9"/>
    <w:rsid w:val="002A710D"/>
    <w:rsid w:val="002B2416"/>
    <w:rsid w:val="002B55B2"/>
    <w:rsid w:val="002B5755"/>
    <w:rsid w:val="002C1126"/>
    <w:rsid w:val="002C251F"/>
    <w:rsid w:val="002C3A4E"/>
    <w:rsid w:val="002C535E"/>
    <w:rsid w:val="002D257E"/>
    <w:rsid w:val="002D5F30"/>
    <w:rsid w:val="002D667B"/>
    <w:rsid w:val="002E59E3"/>
    <w:rsid w:val="002F35B5"/>
    <w:rsid w:val="002F7AA8"/>
    <w:rsid w:val="00302180"/>
    <w:rsid w:val="003027A2"/>
    <w:rsid w:val="00304B0E"/>
    <w:rsid w:val="00311D9F"/>
    <w:rsid w:val="00313325"/>
    <w:rsid w:val="00314281"/>
    <w:rsid w:val="003222FD"/>
    <w:rsid w:val="00326BD9"/>
    <w:rsid w:val="00331374"/>
    <w:rsid w:val="00337524"/>
    <w:rsid w:val="00337A1A"/>
    <w:rsid w:val="003410D8"/>
    <w:rsid w:val="00341DFE"/>
    <w:rsid w:val="00345BE0"/>
    <w:rsid w:val="00347589"/>
    <w:rsid w:val="003475B5"/>
    <w:rsid w:val="00347975"/>
    <w:rsid w:val="00352D18"/>
    <w:rsid w:val="003565B2"/>
    <w:rsid w:val="003627F2"/>
    <w:rsid w:val="00367FB2"/>
    <w:rsid w:val="00371CF9"/>
    <w:rsid w:val="00371DB2"/>
    <w:rsid w:val="00375A6F"/>
    <w:rsid w:val="0038092B"/>
    <w:rsid w:val="00381DB8"/>
    <w:rsid w:val="00385377"/>
    <w:rsid w:val="00386FB1"/>
    <w:rsid w:val="00387063"/>
    <w:rsid w:val="003902C5"/>
    <w:rsid w:val="00392FE5"/>
    <w:rsid w:val="00394777"/>
    <w:rsid w:val="00394B54"/>
    <w:rsid w:val="003A232D"/>
    <w:rsid w:val="003A37DB"/>
    <w:rsid w:val="003A37FF"/>
    <w:rsid w:val="003A6559"/>
    <w:rsid w:val="003C14FB"/>
    <w:rsid w:val="003D20D6"/>
    <w:rsid w:val="003D3923"/>
    <w:rsid w:val="003D59D8"/>
    <w:rsid w:val="003D649A"/>
    <w:rsid w:val="003E18B7"/>
    <w:rsid w:val="003E253D"/>
    <w:rsid w:val="00414E1C"/>
    <w:rsid w:val="004152E0"/>
    <w:rsid w:val="00417131"/>
    <w:rsid w:val="00421B82"/>
    <w:rsid w:val="0042629B"/>
    <w:rsid w:val="00426539"/>
    <w:rsid w:val="00430F74"/>
    <w:rsid w:val="00436F5F"/>
    <w:rsid w:val="00441705"/>
    <w:rsid w:val="00441B34"/>
    <w:rsid w:val="00443302"/>
    <w:rsid w:val="00444D73"/>
    <w:rsid w:val="00444F05"/>
    <w:rsid w:val="0044668C"/>
    <w:rsid w:val="004469BE"/>
    <w:rsid w:val="004471ED"/>
    <w:rsid w:val="00447D61"/>
    <w:rsid w:val="0045070B"/>
    <w:rsid w:val="00452700"/>
    <w:rsid w:val="004649B5"/>
    <w:rsid w:val="00465EFA"/>
    <w:rsid w:val="00466ECD"/>
    <w:rsid w:val="00483803"/>
    <w:rsid w:val="00485EE4"/>
    <w:rsid w:val="004949D1"/>
    <w:rsid w:val="004966DD"/>
    <w:rsid w:val="004A0943"/>
    <w:rsid w:val="004A0FD4"/>
    <w:rsid w:val="004A1F6C"/>
    <w:rsid w:val="004A21D9"/>
    <w:rsid w:val="004A60AA"/>
    <w:rsid w:val="004A6109"/>
    <w:rsid w:val="004A6EBA"/>
    <w:rsid w:val="004A6F7F"/>
    <w:rsid w:val="004A734E"/>
    <w:rsid w:val="004B098D"/>
    <w:rsid w:val="004B1672"/>
    <w:rsid w:val="004B40E8"/>
    <w:rsid w:val="004B6129"/>
    <w:rsid w:val="004B79CD"/>
    <w:rsid w:val="004C010D"/>
    <w:rsid w:val="004C1898"/>
    <w:rsid w:val="004C1CD1"/>
    <w:rsid w:val="004C563D"/>
    <w:rsid w:val="004C5939"/>
    <w:rsid w:val="004D0D44"/>
    <w:rsid w:val="004D272D"/>
    <w:rsid w:val="004E110E"/>
    <w:rsid w:val="004E2D11"/>
    <w:rsid w:val="004E539A"/>
    <w:rsid w:val="004F13BF"/>
    <w:rsid w:val="004F3CC8"/>
    <w:rsid w:val="004F57C4"/>
    <w:rsid w:val="005000E7"/>
    <w:rsid w:val="005023FD"/>
    <w:rsid w:val="0050255B"/>
    <w:rsid w:val="00504F16"/>
    <w:rsid w:val="005052C4"/>
    <w:rsid w:val="005110D3"/>
    <w:rsid w:val="00512D41"/>
    <w:rsid w:val="00513F70"/>
    <w:rsid w:val="00514FD0"/>
    <w:rsid w:val="00516E48"/>
    <w:rsid w:val="0052031E"/>
    <w:rsid w:val="0052250B"/>
    <w:rsid w:val="00527B20"/>
    <w:rsid w:val="00530351"/>
    <w:rsid w:val="0053356E"/>
    <w:rsid w:val="0053407D"/>
    <w:rsid w:val="0053653C"/>
    <w:rsid w:val="00536582"/>
    <w:rsid w:val="00541ED6"/>
    <w:rsid w:val="00542A04"/>
    <w:rsid w:val="00543F01"/>
    <w:rsid w:val="00544783"/>
    <w:rsid w:val="00555DA8"/>
    <w:rsid w:val="00570845"/>
    <w:rsid w:val="00572A8A"/>
    <w:rsid w:val="00575F27"/>
    <w:rsid w:val="00583949"/>
    <w:rsid w:val="0059133D"/>
    <w:rsid w:val="00591733"/>
    <w:rsid w:val="005921C8"/>
    <w:rsid w:val="005928BF"/>
    <w:rsid w:val="005A04A9"/>
    <w:rsid w:val="005A1165"/>
    <w:rsid w:val="005A3D03"/>
    <w:rsid w:val="005A4BC6"/>
    <w:rsid w:val="005A5A92"/>
    <w:rsid w:val="005B0DDC"/>
    <w:rsid w:val="005B3964"/>
    <w:rsid w:val="005B44AF"/>
    <w:rsid w:val="005B51C3"/>
    <w:rsid w:val="005B593E"/>
    <w:rsid w:val="005B7158"/>
    <w:rsid w:val="005B744D"/>
    <w:rsid w:val="005C409B"/>
    <w:rsid w:val="005C5CC2"/>
    <w:rsid w:val="005C654F"/>
    <w:rsid w:val="005D3DF3"/>
    <w:rsid w:val="005E2C18"/>
    <w:rsid w:val="005E3DEE"/>
    <w:rsid w:val="005E6A3B"/>
    <w:rsid w:val="005E6B18"/>
    <w:rsid w:val="005E7D72"/>
    <w:rsid w:val="005F041D"/>
    <w:rsid w:val="005F60BA"/>
    <w:rsid w:val="005F62D4"/>
    <w:rsid w:val="005F7024"/>
    <w:rsid w:val="00602538"/>
    <w:rsid w:val="006117D2"/>
    <w:rsid w:val="006210E4"/>
    <w:rsid w:val="00624E0F"/>
    <w:rsid w:val="006255F7"/>
    <w:rsid w:val="006339F9"/>
    <w:rsid w:val="00633E0C"/>
    <w:rsid w:val="00640A0F"/>
    <w:rsid w:val="00647AEF"/>
    <w:rsid w:val="006701D7"/>
    <w:rsid w:val="006748DC"/>
    <w:rsid w:val="0067502B"/>
    <w:rsid w:val="00681AC5"/>
    <w:rsid w:val="00686709"/>
    <w:rsid w:val="006936C8"/>
    <w:rsid w:val="006A5C35"/>
    <w:rsid w:val="006A698B"/>
    <w:rsid w:val="006B186A"/>
    <w:rsid w:val="006B1B43"/>
    <w:rsid w:val="006B5180"/>
    <w:rsid w:val="006C2D9F"/>
    <w:rsid w:val="006C6DFD"/>
    <w:rsid w:val="006C7432"/>
    <w:rsid w:val="006D33FA"/>
    <w:rsid w:val="006D7BC1"/>
    <w:rsid w:val="006E416D"/>
    <w:rsid w:val="006E5F0C"/>
    <w:rsid w:val="006F0549"/>
    <w:rsid w:val="006F7F3D"/>
    <w:rsid w:val="0070136F"/>
    <w:rsid w:val="00703419"/>
    <w:rsid w:val="007064BF"/>
    <w:rsid w:val="00706558"/>
    <w:rsid w:val="0071214E"/>
    <w:rsid w:val="007132BF"/>
    <w:rsid w:val="00713F21"/>
    <w:rsid w:val="00717661"/>
    <w:rsid w:val="0072408D"/>
    <w:rsid w:val="007304AD"/>
    <w:rsid w:val="00730F4D"/>
    <w:rsid w:val="00731929"/>
    <w:rsid w:val="007322BC"/>
    <w:rsid w:val="00733FF4"/>
    <w:rsid w:val="00734122"/>
    <w:rsid w:val="00734D10"/>
    <w:rsid w:val="00735D5B"/>
    <w:rsid w:val="00737434"/>
    <w:rsid w:val="00740134"/>
    <w:rsid w:val="00745963"/>
    <w:rsid w:val="0075367D"/>
    <w:rsid w:val="007536A7"/>
    <w:rsid w:val="00754480"/>
    <w:rsid w:val="00760CB7"/>
    <w:rsid w:val="007615E7"/>
    <w:rsid w:val="00773BAB"/>
    <w:rsid w:val="00785C93"/>
    <w:rsid w:val="00786697"/>
    <w:rsid w:val="00787BB3"/>
    <w:rsid w:val="00791A92"/>
    <w:rsid w:val="0079304E"/>
    <w:rsid w:val="007A06A9"/>
    <w:rsid w:val="007B0876"/>
    <w:rsid w:val="007B0CB5"/>
    <w:rsid w:val="007B2395"/>
    <w:rsid w:val="007B338D"/>
    <w:rsid w:val="007B35DE"/>
    <w:rsid w:val="007B685E"/>
    <w:rsid w:val="007D4227"/>
    <w:rsid w:val="007D52FD"/>
    <w:rsid w:val="007E369B"/>
    <w:rsid w:val="007E3DDF"/>
    <w:rsid w:val="007E701D"/>
    <w:rsid w:val="007E798F"/>
    <w:rsid w:val="007F2A02"/>
    <w:rsid w:val="007F39C6"/>
    <w:rsid w:val="007F40D9"/>
    <w:rsid w:val="007F7E2B"/>
    <w:rsid w:val="00803191"/>
    <w:rsid w:val="00811D2D"/>
    <w:rsid w:val="00812EDF"/>
    <w:rsid w:val="00821334"/>
    <w:rsid w:val="00823CA9"/>
    <w:rsid w:val="00823DA4"/>
    <w:rsid w:val="00827B8D"/>
    <w:rsid w:val="00832F28"/>
    <w:rsid w:val="008349AC"/>
    <w:rsid w:val="008405E8"/>
    <w:rsid w:val="008429B4"/>
    <w:rsid w:val="008445C3"/>
    <w:rsid w:val="00847121"/>
    <w:rsid w:val="00847A47"/>
    <w:rsid w:val="00847F1D"/>
    <w:rsid w:val="008505FE"/>
    <w:rsid w:val="0085297B"/>
    <w:rsid w:val="00854460"/>
    <w:rsid w:val="00862A1F"/>
    <w:rsid w:val="00862EC6"/>
    <w:rsid w:val="00864568"/>
    <w:rsid w:val="00864FBA"/>
    <w:rsid w:val="00867EEB"/>
    <w:rsid w:val="008759F3"/>
    <w:rsid w:val="008764CA"/>
    <w:rsid w:val="00877A14"/>
    <w:rsid w:val="008821D4"/>
    <w:rsid w:val="0088774D"/>
    <w:rsid w:val="00893345"/>
    <w:rsid w:val="00896CE8"/>
    <w:rsid w:val="008A20AC"/>
    <w:rsid w:val="008B062C"/>
    <w:rsid w:val="008B2B4B"/>
    <w:rsid w:val="008B4C76"/>
    <w:rsid w:val="008C1A1D"/>
    <w:rsid w:val="008C2312"/>
    <w:rsid w:val="008C53C7"/>
    <w:rsid w:val="008D0A39"/>
    <w:rsid w:val="008D1DBA"/>
    <w:rsid w:val="008D253F"/>
    <w:rsid w:val="008E03A8"/>
    <w:rsid w:val="008E3DA3"/>
    <w:rsid w:val="008E4C65"/>
    <w:rsid w:val="008E5F5B"/>
    <w:rsid w:val="008F1AD2"/>
    <w:rsid w:val="008F2DC7"/>
    <w:rsid w:val="008F74BC"/>
    <w:rsid w:val="008F796A"/>
    <w:rsid w:val="00902965"/>
    <w:rsid w:val="00902E35"/>
    <w:rsid w:val="00904AA2"/>
    <w:rsid w:val="00907B7C"/>
    <w:rsid w:val="009136CA"/>
    <w:rsid w:val="0091433B"/>
    <w:rsid w:val="009145DE"/>
    <w:rsid w:val="009151E7"/>
    <w:rsid w:val="009166CF"/>
    <w:rsid w:val="00920F12"/>
    <w:rsid w:val="00925197"/>
    <w:rsid w:val="00925592"/>
    <w:rsid w:val="0093633B"/>
    <w:rsid w:val="009576C5"/>
    <w:rsid w:val="00957AA0"/>
    <w:rsid w:val="00965DF2"/>
    <w:rsid w:val="00970593"/>
    <w:rsid w:val="009712B4"/>
    <w:rsid w:val="00972C3F"/>
    <w:rsid w:val="00972EE6"/>
    <w:rsid w:val="00973A05"/>
    <w:rsid w:val="009765BB"/>
    <w:rsid w:val="009847B1"/>
    <w:rsid w:val="00987A0E"/>
    <w:rsid w:val="00990B99"/>
    <w:rsid w:val="00991545"/>
    <w:rsid w:val="009A43DD"/>
    <w:rsid w:val="009A4B3F"/>
    <w:rsid w:val="009A630F"/>
    <w:rsid w:val="009B1619"/>
    <w:rsid w:val="009B294A"/>
    <w:rsid w:val="009B2BA4"/>
    <w:rsid w:val="009B3F2C"/>
    <w:rsid w:val="009B43D1"/>
    <w:rsid w:val="009B5BB8"/>
    <w:rsid w:val="009B6533"/>
    <w:rsid w:val="009C00E7"/>
    <w:rsid w:val="009C1E2D"/>
    <w:rsid w:val="009C7972"/>
    <w:rsid w:val="009C79D3"/>
    <w:rsid w:val="009D135C"/>
    <w:rsid w:val="009D7663"/>
    <w:rsid w:val="009F370C"/>
    <w:rsid w:val="009F43F7"/>
    <w:rsid w:val="009F7200"/>
    <w:rsid w:val="009F7426"/>
    <w:rsid w:val="00A00892"/>
    <w:rsid w:val="00A00E98"/>
    <w:rsid w:val="00A0424F"/>
    <w:rsid w:val="00A05225"/>
    <w:rsid w:val="00A06A35"/>
    <w:rsid w:val="00A1214E"/>
    <w:rsid w:val="00A24849"/>
    <w:rsid w:val="00A42BF1"/>
    <w:rsid w:val="00A42DC9"/>
    <w:rsid w:val="00A4683C"/>
    <w:rsid w:val="00A46DAD"/>
    <w:rsid w:val="00A54DB1"/>
    <w:rsid w:val="00A55DAA"/>
    <w:rsid w:val="00A56670"/>
    <w:rsid w:val="00A616EB"/>
    <w:rsid w:val="00A61EF9"/>
    <w:rsid w:val="00A62114"/>
    <w:rsid w:val="00A855D4"/>
    <w:rsid w:val="00A91618"/>
    <w:rsid w:val="00A94057"/>
    <w:rsid w:val="00A947FA"/>
    <w:rsid w:val="00A96C4D"/>
    <w:rsid w:val="00AB0E56"/>
    <w:rsid w:val="00AB25CB"/>
    <w:rsid w:val="00AB440B"/>
    <w:rsid w:val="00AB5123"/>
    <w:rsid w:val="00AB67AB"/>
    <w:rsid w:val="00AC2635"/>
    <w:rsid w:val="00AC3788"/>
    <w:rsid w:val="00AD23E8"/>
    <w:rsid w:val="00AE0660"/>
    <w:rsid w:val="00AE308F"/>
    <w:rsid w:val="00AE4F84"/>
    <w:rsid w:val="00AE6CEC"/>
    <w:rsid w:val="00AF3E6B"/>
    <w:rsid w:val="00AF3F23"/>
    <w:rsid w:val="00B039A1"/>
    <w:rsid w:val="00B0478E"/>
    <w:rsid w:val="00B0570E"/>
    <w:rsid w:val="00B05DF0"/>
    <w:rsid w:val="00B07E2F"/>
    <w:rsid w:val="00B15020"/>
    <w:rsid w:val="00B17E5C"/>
    <w:rsid w:val="00B2093B"/>
    <w:rsid w:val="00B21E52"/>
    <w:rsid w:val="00B359B5"/>
    <w:rsid w:val="00B36E8B"/>
    <w:rsid w:val="00B4082E"/>
    <w:rsid w:val="00B408D4"/>
    <w:rsid w:val="00B41D36"/>
    <w:rsid w:val="00B4397E"/>
    <w:rsid w:val="00B43F11"/>
    <w:rsid w:val="00B5445A"/>
    <w:rsid w:val="00B56250"/>
    <w:rsid w:val="00B60EAD"/>
    <w:rsid w:val="00B66109"/>
    <w:rsid w:val="00B71861"/>
    <w:rsid w:val="00B73518"/>
    <w:rsid w:val="00B76F3C"/>
    <w:rsid w:val="00B81893"/>
    <w:rsid w:val="00B82124"/>
    <w:rsid w:val="00B85CEF"/>
    <w:rsid w:val="00B87A52"/>
    <w:rsid w:val="00B901FC"/>
    <w:rsid w:val="00B91727"/>
    <w:rsid w:val="00B91D6F"/>
    <w:rsid w:val="00B97682"/>
    <w:rsid w:val="00B97792"/>
    <w:rsid w:val="00BA0280"/>
    <w:rsid w:val="00BA51FC"/>
    <w:rsid w:val="00BB72F4"/>
    <w:rsid w:val="00BC375C"/>
    <w:rsid w:val="00BD1DB9"/>
    <w:rsid w:val="00BE704E"/>
    <w:rsid w:val="00BE72CD"/>
    <w:rsid w:val="00BF7264"/>
    <w:rsid w:val="00C025DE"/>
    <w:rsid w:val="00C02DB5"/>
    <w:rsid w:val="00C11D08"/>
    <w:rsid w:val="00C12766"/>
    <w:rsid w:val="00C12A4D"/>
    <w:rsid w:val="00C14FDE"/>
    <w:rsid w:val="00C15CCF"/>
    <w:rsid w:val="00C21C34"/>
    <w:rsid w:val="00C224E5"/>
    <w:rsid w:val="00C25CBA"/>
    <w:rsid w:val="00C2639C"/>
    <w:rsid w:val="00C33165"/>
    <w:rsid w:val="00C53A51"/>
    <w:rsid w:val="00C67F53"/>
    <w:rsid w:val="00C73B36"/>
    <w:rsid w:val="00C74FA4"/>
    <w:rsid w:val="00C77ED2"/>
    <w:rsid w:val="00C82FEC"/>
    <w:rsid w:val="00C832F7"/>
    <w:rsid w:val="00C863C4"/>
    <w:rsid w:val="00C93B31"/>
    <w:rsid w:val="00CA18D6"/>
    <w:rsid w:val="00CA27BA"/>
    <w:rsid w:val="00CA3107"/>
    <w:rsid w:val="00CA6579"/>
    <w:rsid w:val="00CB2383"/>
    <w:rsid w:val="00CB407E"/>
    <w:rsid w:val="00CC2AB3"/>
    <w:rsid w:val="00CC3117"/>
    <w:rsid w:val="00CC363F"/>
    <w:rsid w:val="00CD0FC7"/>
    <w:rsid w:val="00CD442B"/>
    <w:rsid w:val="00CD4821"/>
    <w:rsid w:val="00CD7B92"/>
    <w:rsid w:val="00CE09CE"/>
    <w:rsid w:val="00CE0B47"/>
    <w:rsid w:val="00CE790F"/>
    <w:rsid w:val="00CF0008"/>
    <w:rsid w:val="00CF04D6"/>
    <w:rsid w:val="00CF1A70"/>
    <w:rsid w:val="00CF213F"/>
    <w:rsid w:val="00CF70D8"/>
    <w:rsid w:val="00D110F1"/>
    <w:rsid w:val="00D154B6"/>
    <w:rsid w:val="00D17778"/>
    <w:rsid w:val="00D2381A"/>
    <w:rsid w:val="00D2438E"/>
    <w:rsid w:val="00D27685"/>
    <w:rsid w:val="00D33CAC"/>
    <w:rsid w:val="00D34539"/>
    <w:rsid w:val="00D4242E"/>
    <w:rsid w:val="00D42F43"/>
    <w:rsid w:val="00D441E0"/>
    <w:rsid w:val="00D458EE"/>
    <w:rsid w:val="00D4743C"/>
    <w:rsid w:val="00D522DC"/>
    <w:rsid w:val="00D60C3B"/>
    <w:rsid w:val="00D62A9A"/>
    <w:rsid w:val="00D62F29"/>
    <w:rsid w:val="00D673E7"/>
    <w:rsid w:val="00D74775"/>
    <w:rsid w:val="00D8162C"/>
    <w:rsid w:val="00D8167E"/>
    <w:rsid w:val="00D87AE6"/>
    <w:rsid w:val="00DA2513"/>
    <w:rsid w:val="00DA73F3"/>
    <w:rsid w:val="00DB2B42"/>
    <w:rsid w:val="00DB374D"/>
    <w:rsid w:val="00DB4651"/>
    <w:rsid w:val="00DC5B79"/>
    <w:rsid w:val="00DD69EE"/>
    <w:rsid w:val="00DD7A5E"/>
    <w:rsid w:val="00DE0457"/>
    <w:rsid w:val="00DE0524"/>
    <w:rsid w:val="00DE39F7"/>
    <w:rsid w:val="00DE7625"/>
    <w:rsid w:val="00DF011F"/>
    <w:rsid w:val="00DF4347"/>
    <w:rsid w:val="00DF608E"/>
    <w:rsid w:val="00E025C1"/>
    <w:rsid w:val="00E03180"/>
    <w:rsid w:val="00E0334F"/>
    <w:rsid w:val="00E127FB"/>
    <w:rsid w:val="00E147D6"/>
    <w:rsid w:val="00E14F3B"/>
    <w:rsid w:val="00E17AF1"/>
    <w:rsid w:val="00E2260D"/>
    <w:rsid w:val="00E22D0C"/>
    <w:rsid w:val="00E248FC"/>
    <w:rsid w:val="00E24B4E"/>
    <w:rsid w:val="00E26035"/>
    <w:rsid w:val="00E30909"/>
    <w:rsid w:val="00E32280"/>
    <w:rsid w:val="00E3692E"/>
    <w:rsid w:val="00E41755"/>
    <w:rsid w:val="00E5349A"/>
    <w:rsid w:val="00E55CD9"/>
    <w:rsid w:val="00E56A4C"/>
    <w:rsid w:val="00E60F67"/>
    <w:rsid w:val="00E6240B"/>
    <w:rsid w:val="00E70562"/>
    <w:rsid w:val="00E76F89"/>
    <w:rsid w:val="00E80061"/>
    <w:rsid w:val="00E81B55"/>
    <w:rsid w:val="00E82FA3"/>
    <w:rsid w:val="00E83F84"/>
    <w:rsid w:val="00E85D18"/>
    <w:rsid w:val="00E92A68"/>
    <w:rsid w:val="00EA31D2"/>
    <w:rsid w:val="00EA3A09"/>
    <w:rsid w:val="00EA417D"/>
    <w:rsid w:val="00EA6D14"/>
    <w:rsid w:val="00EB56F2"/>
    <w:rsid w:val="00EB6670"/>
    <w:rsid w:val="00EB69C8"/>
    <w:rsid w:val="00EC087D"/>
    <w:rsid w:val="00EC142C"/>
    <w:rsid w:val="00EC4F8C"/>
    <w:rsid w:val="00EC534E"/>
    <w:rsid w:val="00EC7F94"/>
    <w:rsid w:val="00ED14AA"/>
    <w:rsid w:val="00ED6F46"/>
    <w:rsid w:val="00ED76EB"/>
    <w:rsid w:val="00EE3658"/>
    <w:rsid w:val="00EE3CA1"/>
    <w:rsid w:val="00EE4102"/>
    <w:rsid w:val="00EF298E"/>
    <w:rsid w:val="00EF5FE2"/>
    <w:rsid w:val="00EF6D02"/>
    <w:rsid w:val="00F00DAA"/>
    <w:rsid w:val="00F013DD"/>
    <w:rsid w:val="00F11E4A"/>
    <w:rsid w:val="00F216F0"/>
    <w:rsid w:val="00F23E75"/>
    <w:rsid w:val="00F326F0"/>
    <w:rsid w:val="00F379DF"/>
    <w:rsid w:val="00F42A87"/>
    <w:rsid w:val="00F42D9D"/>
    <w:rsid w:val="00F43631"/>
    <w:rsid w:val="00F442D0"/>
    <w:rsid w:val="00F44F8A"/>
    <w:rsid w:val="00F46F77"/>
    <w:rsid w:val="00F47163"/>
    <w:rsid w:val="00F4786D"/>
    <w:rsid w:val="00F55B4F"/>
    <w:rsid w:val="00F56EF1"/>
    <w:rsid w:val="00F61486"/>
    <w:rsid w:val="00F65F6C"/>
    <w:rsid w:val="00F678E6"/>
    <w:rsid w:val="00F7689C"/>
    <w:rsid w:val="00F817E0"/>
    <w:rsid w:val="00F81A13"/>
    <w:rsid w:val="00F82D82"/>
    <w:rsid w:val="00F84FC8"/>
    <w:rsid w:val="00F90DB5"/>
    <w:rsid w:val="00F924F2"/>
    <w:rsid w:val="00F967CE"/>
    <w:rsid w:val="00FA0B49"/>
    <w:rsid w:val="00FA566C"/>
    <w:rsid w:val="00FB0A44"/>
    <w:rsid w:val="00FB1D28"/>
    <w:rsid w:val="00FB4346"/>
    <w:rsid w:val="00FB7307"/>
    <w:rsid w:val="00FC42A4"/>
    <w:rsid w:val="00FC4CC2"/>
    <w:rsid w:val="00FD0747"/>
    <w:rsid w:val="00FD21BF"/>
    <w:rsid w:val="00FD2588"/>
    <w:rsid w:val="00FD5BA5"/>
    <w:rsid w:val="00FD5D15"/>
    <w:rsid w:val="00FD7AD4"/>
    <w:rsid w:val="00FE0DE6"/>
    <w:rsid w:val="00FE2594"/>
    <w:rsid w:val="00FE7BF6"/>
    <w:rsid w:val="00FF0CEE"/>
    <w:rsid w:val="00FF78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1E01F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A6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440B"/>
    <w:pPr>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unhideWhenUsed/>
    <w:rsid w:val="00514FD0"/>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514FD0"/>
  </w:style>
  <w:style w:type="character" w:styleId="FootnoteReference">
    <w:name w:val="footnote reference"/>
    <w:basedOn w:val="DefaultParagraphFont"/>
    <w:uiPriority w:val="99"/>
    <w:unhideWhenUsed/>
    <w:rsid w:val="00514FD0"/>
    <w:rPr>
      <w:vertAlign w:val="superscript"/>
    </w:rPr>
  </w:style>
  <w:style w:type="paragraph" w:styleId="Footer">
    <w:name w:val="footer"/>
    <w:basedOn w:val="Normal"/>
    <w:link w:val="FooterChar"/>
    <w:uiPriority w:val="99"/>
    <w:unhideWhenUsed/>
    <w:rsid w:val="00864568"/>
    <w:pPr>
      <w:tabs>
        <w:tab w:val="center" w:pos="4320"/>
        <w:tab w:val="right" w:pos="864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864568"/>
  </w:style>
  <w:style w:type="character" w:styleId="PageNumber">
    <w:name w:val="page number"/>
    <w:basedOn w:val="DefaultParagraphFont"/>
    <w:uiPriority w:val="99"/>
    <w:semiHidden/>
    <w:unhideWhenUsed/>
    <w:rsid w:val="00864568"/>
  </w:style>
  <w:style w:type="paragraph" w:styleId="Bibliography">
    <w:name w:val="Bibliography"/>
    <w:basedOn w:val="Normal"/>
    <w:next w:val="Normal"/>
    <w:uiPriority w:val="37"/>
    <w:unhideWhenUsed/>
    <w:rsid w:val="00ED76EB"/>
    <w:pPr>
      <w:ind w:left="720" w:hanging="720"/>
    </w:pPr>
    <w:rPr>
      <w:rFonts w:asciiTheme="minorHAnsi" w:eastAsiaTheme="minorHAnsi" w:hAnsiTheme="minorHAnsi" w:cstheme="minorBidi"/>
    </w:rPr>
  </w:style>
  <w:style w:type="paragraph" w:styleId="Header">
    <w:name w:val="header"/>
    <w:basedOn w:val="Normal"/>
    <w:link w:val="HeaderChar"/>
    <w:uiPriority w:val="99"/>
    <w:unhideWhenUsed/>
    <w:rsid w:val="00ED76E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ED76EB"/>
  </w:style>
  <w:style w:type="character" w:styleId="CommentReference">
    <w:name w:val="annotation reference"/>
    <w:basedOn w:val="DefaultParagraphFont"/>
    <w:uiPriority w:val="99"/>
    <w:semiHidden/>
    <w:unhideWhenUsed/>
    <w:rsid w:val="00785C93"/>
    <w:rPr>
      <w:sz w:val="16"/>
      <w:szCs w:val="16"/>
    </w:rPr>
  </w:style>
  <w:style w:type="paragraph" w:styleId="CommentText">
    <w:name w:val="annotation text"/>
    <w:basedOn w:val="Normal"/>
    <w:link w:val="CommentTextChar"/>
    <w:uiPriority w:val="99"/>
    <w:unhideWhenUsed/>
    <w:rsid w:val="00785C93"/>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785C93"/>
    <w:rPr>
      <w:sz w:val="20"/>
      <w:szCs w:val="20"/>
    </w:rPr>
  </w:style>
  <w:style w:type="paragraph" w:styleId="CommentSubject">
    <w:name w:val="annotation subject"/>
    <w:basedOn w:val="CommentText"/>
    <w:next w:val="CommentText"/>
    <w:link w:val="CommentSubjectChar"/>
    <w:uiPriority w:val="99"/>
    <w:semiHidden/>
    <w:unhideWhenUsed/>
    <w:rsid w:val="00785C93"/>
    <w:rPr>
      <w:b/>
      <w:bCs/>
    </w:rPr>
  </w:style>
  <w:style w:type="character" w:customStyle="1" w:styleId="CommentSubjectChar">
    <w:name w:val="Comment Subject Char"/>
    <w:basedOn w:val="CommentTextChar"/>
    <w:link w:val="CommentSubject"/>
    <w:uiPriority w:val="99"/>
    <w:semiHidden/>
    <w:rsid w:val="00785C93"/>
    <w:rPr>
      <w:b/>
      <w:bCs/>
      <w:sz w:val="20"/>
      <w:szCs w:val="20"/>
    </w:rPr>
  </w:style>
  <w:style w:type="paragraph" w:styleId="BalloonText">
    <w:name w:val="Balloon Text"/>
    <w:basedOn w:val="Normal"/>
    <w:link w:val="BalloonTextChar"/>
    <w:uiPriority w:val="99"/>
    <w:semiHidden/>
    <w:unhideWhenUsed/>
    <w:rsid w:val="00785C93"/>
    <w:rPr>
      <w:rFonts w:eastAsiaTheme="minorHAnsi"/>
      <w:sz w:val="18"/>
      <w:szCs w:val="18"/>
    </w:rPr>
  </w:style>
  <w:style w:type="character" w:customStyle="1" w:styleId="BalloonTextChar">
    <w:name w:val="Balloon Text Char"/>
    <w:basedOn w:val="DefaultParagraphFont"/>
    <w:link w:val="BalloonText"/>
    <w:uiPriority w:val="99"/>
    <w:semiHidden/>
    <w:rsid w:val="00785C93"/>
    <w:rPr>
      <w:rFonts w:ascii="Times New Roman" w:hAnsi="Times New Roman" w:cs="Times New Roman"/>
      <w:sz w:val="18"/>
      <w:szCs w:val="18"/>
    </w:rPr>
  </w:style>
  <w:style w:type="character" w:styleId="Hyperlink">
    <w:name w:val="Hyperlink"/>
    <w:basedOn w:val="DefaultParagraphFont"/>
    <w:uiPriority w:val="99"/>
    <w:unhideWhenUsed/>
    <w:rsid w:val="00EC087D"/>
    <w:rPr>
      <w:color w:val="0000FF"/>
      <w:u w:val="single"/>
    </w:rPr>
  </w:style>
  <w:style w:type="paragraph" w:styleId="Revision">
    <w:name w:val="Revision"/>
    <w:hidden/>
    <w:uiPriority w:val="99"/>
    <w:semiHidden/>
    <w:rsid w:val="00050BB1"/>
  </w:style>
  <w:style w:type="table" w:styleId="TableGrid">
    <w:name w:val="Table Grid"/>
    <w:basedOn w:val="TableNormal"/>
    <w:uiPriority w:val="39"/>
    <w:rsid w:val="007F39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4242E"/>
    <w:rPr>
      <w:color w:val="954F72" w:themeColor="followedHyperlink"/>
      <w:u w:val="single"/>
    </w:rPr>
  </w:style>
  <w:style w:type="paragraph" w:styleId="NormalWeb">
    <w:name w:val="Normal (Web)"/>
    <w:basedOn w:val="Normal"/>
    <w:uiPriority w:val="99"/>
    <w:semiHidden/>
    <w:unhideWhenUsed/>
    <w:rsid w:val="00D4242E"/>
    <w:pPr>
      <w:spacing w:before="100" w:beforeAutospacing="1" w:after="100" w:afterAutospacing="1"/>
    </w:pPr>
  </w:style>
  <w:style w:type="character" w:styleId="EndnoteReference">
    <w:name w:val="endnote reference"/>
    <w:basedOn w:val="DefaultParagraphFont"/>
    <w:uiPriority w:val="99"/>
    <w:semiHidden/>
    <w:unhideWhenUsed/>
    <w:rsid w:val="00FB0A44"/>
    <w:rPr>
      <w:vertAlign w:val="superscript"/>
    </w:rPr>
  </w:style>
  <w:style w:type="character" w:styleId="UnresolvedMention">
    <w:name w:val="Unresolved Mention"/>
    <w:basedOn w:val="DefaultParagraphFont"/>
    <w:uiPriority w:val="99"/>
    <w:rsid w:val="009F7200"/>
    <w:rPr>
      <w:color w:val="605E5C"/>
      <w:shd w:val="clear" w:color="auto" w:fill="E1DFDD"/>
    </w:rPr>
  </w:style>
  <w:style w:type="paragraph" w:styleId="EndnoteText">
    <w:name w:val="endnote text"/>
    <w:basedOn w:val="Normal"/>
    <w:link w:val="EndnoteTextChar"/>
    <w:uiPriority w:val="99"/>
    <w:semiHidden/>
    <w:unhideWhenUsed/>
    <w:rsid w:val="00A46DAD"/>
    <w:rPr>
      <w:sz w:val="20"/>
      <w:szCs w:val="20"/>
    </w:rPr>
  </w:style>
  <w:style w:type="character" w:customStyle="1" w:styleId="EndnoteTextChar">
    <w:name w:val="Endnote Text Char"/>
    <w:basedOn w:val="DefaultParagraphFont"/>
    <w:link w:val="EndnoteText"/>
    <w:uiPriority w:val="99"/>
    <w:semiHidden/>
    <w:rsid w:val="00A46DAD"/>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24221">
      <w:bodyDiv w:val="1"/>
      <w:marLeft w:val="0"/>
      <w:marRight w:val="0"/>
      <w:marTop w:val="0"/>
      <w:marBottom w:val="0"/>
      <w:divBdr>
        <w:top w:val="none" w:sz="0" w:space="0" w:color="auto"/>
        <w:left w:val="none" w:sz="0" w:space="0" w:color="auto"/>
        <w:bottom w:val="none" w:sz="0" w:space="0" w:color="auto"/>
        <w:right w:val="none" w:sz="0" w:space="0" w:color="auto"/>
      </w:divBdr>
      <w:divsChild>
        <w:div w:id="1244485067">
          <w:marLeft w:val="0"/>
          <w:marRight w:val="0"/>
          <w:marTop w:val="0"/>
          <w:marBottom w:val="0"/>
          <w:divBdr>
            <w:top w:val="none" w:sz="0" w:space="0" w:color="auto"/>
            <w:left w:val="none" w:sz="0" w:space="0" w:color="auto"/>
            <w:bottom w:val="none" w:sz="0" w:space="0" w:color="auto"/>
            <w:right w:val="none" w:sz="0" w:space="0" w:color="auto"/>
          </w:divBdr>
          <w:divsChild>
            <w:div w:id="36860558">
              <w:marLeft w:val="0"/>
              <w:marRight w:val="0"/>
              <w:marTop w:val="0"/>
              <w:marBottom w:val="0"/>
              <w:divBdr>
                <w:top w:val="none" w:sz="0" w:space="0" w:color="auto"/>
                <w:left w:val="none" w:sz="0" w:space="0" w:color="auto"/>
                <w:bottom w:val="none" w:sz="0" w:space="0" w:color="auto"/>
                <w:right w:val="none" w:sz="0" w:space="0" w:color="auto"/>
              </w:divBdr>
              <w:divsChild>
                <w:div w:id="103384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222521">
      <w:bodyDiv w:val="1"/>
      <w:marLeft w:val="0"/>
      <w:marRight w:val="0"/>
      <w:marTop w:val="0"/>
      <w:marBottom w:val="0"/>
      <w:divBdr>
        <w:top w:val="none" w:sz="0" w:space="0" w:color="auto"/>
        <w:left w:val="none" w:sz="0" w:space="0" w:color="auto"/>
        <w:bottom w:val="none" w:sz="0" w:space="0" w:color="auto"/>
        <w:right w:val="none" w:sz="0" w:space="0" w:color="auto"/>
      </w:divBdr>
    </w:div>
    <w:div w:id="595984712">
      <w:bodyDiv w:val="1"/>
      <w:marLeft w:val="0"/>
      <w:marRight w:val="0"/>
      <w:marTop w:val="0"/>
      <w:marBottom w:val="0"/>
      <w:divBdr>
        <w:top w:val="none" w:sz="0" w:space="0" w:color="auto"/>
        <w:left w:val="none" w:sz="0" w:space="0" w:color="auto"/>
        <w:bottom w:val="none" w:sz="0" w:space="0" w:color="auto"/>
        <w:right w:val="none" w:sz="0" w:space="0" w:color="auto"/>
      </w:divBdr>
    </w:div>
    <w:div w:id="714348475">
      <w:bodyDiv w:val="1"/>
      <w:marLeft w:val="0"/>
      <w:marRight w:val="0"/>
      <w:marTop w:val="0"/>
      <w:marBottom w:val="0"/>
      <w:divBdr>
        <w:top w:val="none" w:sz="0" w:space="0" w:color="auto"/>
        <w:left w:val="none" w:sz="0" w:space="0" w:color="auto"/>
        <w:bottom w:val="none" w:sz="0" w:space="0" w:color="auto"/>
        <w:right w:val="none" w:sz="0" w:space="0" w:color="auto"/>
      </w:divBdr>
    </w:div>
    <w:div w:id="809400250">
      <w:bodyDiv w:val="1"/>
      <w:marLeft w:val="0"/>
      <w:marRight w:val="0"/>
      <w:marTop w:val="0"/>
      <w:marBottom w:val="0"/>
      <w:divBdr>
        <w:top w:val="none" w:sz="0" w:space="0" w:color="auto"/>
        <w:left w:val="none" w:sz="0" w:space="0" w:color="auto"/>
        <w:bottom w:val="none" w:sz="0" w:space="0" w:color="auto"/>
        <w:right w:val="none" w:sz="0" w:space="0" w:color="auto"/>
      </w:divBdr>
    </w:div>
    <w:div w:id="855726676">
      <w:bodyDiv w:val="1"/>
      <w:marLeft w:val="0"/>
      <w:marRight w:val="0"/>
      <w:marTop w:val="0"/>
      <w:marBottom w:val="0"/>
      <w:divBdr>
        <w:top w:val="none" w:sz="0" w:space="0" w:color="auto"/>
        <w:left w:val="none" w:sz="0" w:space="0" w:color="auto"/>
        <w:bottom w:val="none" w:sz="0" w:space="0" w:color="auto"/>
        <w:right w:val="none" w:sz="0" w:space="0" w:color="auto"/>
      </w:divBdr>
    </w:div>
    <w:div w:id="1230994331">
      <w:bodyDiv w:val="1"/>
      <w:marLeft w:val="0"/>
      <w:marRight w:val="0"/>
      <w:marTop w:val="0"/>
      <w:marBottom w:val="0"/>
      <w:divBdr>
        <w:top w:val="none" w:sz="0" w:space="0" w:color="auto"/>
        <w:left w:val="none" w:sz="0" w:space="0" w:color="auto"/>
        <w:bottom w:val="none" w:sz="0" w:space="0" w:color="auto"/>
        <w:right w:val="none" w:sz="0" w:space="0" w:color="auto"/>
      </w:divBdr>
    </w:div>
    <w:div w:id="1469475792">
      <w:bodyDiv w:val="1"/>
      <w:marLeft w:val="0"/>
      <w:marRight w:val="0"/>
      <w:marTop w:val="0"/>
      <w:marBottom w:val="0"/>
      <w:divBdr>
        <w:top w:val="none" w:sz="0" w:space="0" w:color="auto"/>
        <w:left w:val="none" w:sz="0" w:space="0" w:color="auto"/>
        <w:bottom w:val="none" w:sz="0" w:space="0" w:color="auto"/>
        <w:right w:val="none" w:sz="0" w:space="0" w:color="auto"/>
      </w:divBdr>
    </w:div>
    <w:div w:id="1748573422">
      <w:bodyDiv w:val="1"/>
      <w:marLeft w:val="0"/>
      <w:marRight w:val="0"/>
      <w:marTop w:val="0"/>
      <w:marBottom w:val="0"/>
      <w:divBdr>
        <w:top w:val="none" w:sz="0" w:space="0" w:color="auto"/>
        <w:left w:val="none" w:sz="0" w:space="0" w:color="auto"/>
        <w:bottom w:val="none" w:sz="0" w:space="0" w:color="auto"/>
        <w:right w:val="none" w:sz="0" w:space="0" w:color="auto"/>
      </w:divBdr>
    </w:div>
    <w:div w:id="1761023440">
      <w:bodyDiv w:val="1"/>
      <w:marLeft w:val="0"/>
      <w:marRight w:val="0"/>
      <w:marTop w:val="0"/>
      <w:marBottom w:val="0"/>
      <w:divBdr>
        <w:top w:val="none" w:sz="0" w:space="0" w:color="auto"/>
        <w:left w:val="none" w:sz="0" w:space="0" w:color="auto"/>
        <w:bottom w:val="none" w:sz="0" w:space="0" w:color="auto"/>
        <w:right w:val="none" w:sz="0" w:space="0" w:color="auto"/>
      </w:divBdr>
    </w:div>
    <w:div w:id="1770588106">
      <w:bodyDiv w:val="1"/>
      <w:marLeft w:val="0"/>
      <w:marRight w:val="0"/>
      <w:marTop w:val="0"/>
      <w:marBottom w:val="0"/>
      <w:divBdr>
        <w:top w:val="none" w:sz="0" w:space="0" w:color="auto"/>
        <w:left w:val="none" w:sz="0" w:space="0" w:color="auto"/>
        <w:bottom w:val="none" w:sz="0" w:space="0" w:color="auto"/>
        <w:right w:val="none" w:sz="0" w:space="0" w:color="auto"/>
      </w:divBdr>
    </w:div>
    <w:div w:id="17767113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325CEC-6937-894F-A9CE-B0446BD34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29548</Words>
  <Characters>172271</Characters>
  <Application>Microsoft Office Word</Application>
  <DocSecurity>0</DocSecurity>
  <Lines>2734</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Nikhil Kalyanpur</dc:creator>
  <cp:keywords/>
  <dc:description/>
  <cp:lastModifiedBy>Microsoft Office User</cp:lastModifiedBy>
  <cp:revision>3</cp:revision>
  <cp:lastPrinted>2020-07-22T12:52:00Z</cp:lastPrinted>
  <dcterms:created xsi:type="dcterms:W3CDTF">2020-08-04T15:22:00Z</dcterms:created>
  <dcterms:modified xsi:type="dcterms:W3CDTF">2020-08-04T15:23:00Z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zotero-version="5.0.89"&gt;&lt;session id="NO8AZn8e"/&gt;&lt;style id="http://www.zotero.org/styles/chicago-author-date" locale="en-US" hasBibliography="1" bibliographyStyleHasBeenSet="1"/&gt;&lt;prefs&gt;&lt;pref name="fieldType" value="Field"/&gt;&lt;pref name</vt:lpwstr>
  </property>
  <property fmtid="{D5CDD505-2E9C-101B-9397-08002B2CF9AE}" pid="3" name="ZOTERO_PREF_2">
    <vt:lpwstr>="storeReferences" value="true"/&gt;&lt;pref name="delayCitationUpdates" value="true"/&gt;&lt;pref name="dontAskDelayCitationUpdates" value="true"/&gt;&lt;/prefs&gt;&lt;/data&gt;</vt:lpwstr>
  </property>
</Properties>
</file>